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52"/>
        <w:tblW w:w="6866" w:type="dxa"/>
        <w:tblLayout w:type="fixed"/>
        <w:tblLook w:val="04A0" w:firstRow="1" w:lastRow="0" w:firstColumn="1" w:lastColumn="0" w:noHBand="0" w:noVBand="1"/>
      </w:tblPr>
      <w:tblGrid>
        <w:gridCol w:w="3535"/>
        <w:gridCol w:w="3331"/>
      </w:tblGrid>
      <w:tr w:rsidR="00046E78" w:rsidRPr="00A53D66" w14:paraId="18F34E65" w14:textId="77777777" w:rsidTr="00046E78">
        <w:trPr>
          <w:trHeight w:val="937"/>
        </w:trPr>
        <w:tc>
          <w:tcPr>
            <w:tcW w:w="3535" w:type="dxa"/>
            <w:shd w:val="clear" w:color="auto" w:fill="auto"/>
          </w:tcPr>
          <w:p w14:paraId="4980277E" w14:textId="77777777" w:rsidR="00046E78" w:rsidRPr="00A53D66" w:rsidRDefault="00046E78" w:rsidP="00046E78">
            <w:pPr>
              <w:jc w:val="center"/>
              <w:rPr>
                <w:rFonts w:ascii="Century Gothic" w:hAnsi="Century Gothic"/>
                <w:sz w:val="18"/>
                <w:lang w:val="fr-FR"/>
              </w:rPr>
            </w:pPr>
          </w:p>
        </w:tc>
        <w:tc>
          <w:tcPr>
            <w:tcW w:w="3331" w:type="dxa"/>
            <w:shd w:val="clear" w:color="auto" w:fill="auto"/>
          </w:tcPr>
          <w:p w14:paraId="5477F4B3" w14:textId="7EED371A" w:rsidR="00046E78" w:rsidRPr="00A53D66" w:rsidRDefault="00142ED1" w:rsidP="00046E78">
            <w:pPr>
              <w:jc w:val="center"/>
              <w:rPr>
                <w:rFonts w:ascii="Century Gothic" w:hAnsi="Century Gothic"/>
                <w:sz w:val="18"/>
                <w:lang w:val="fr-FR"/>
              </w:rPr>
            </w:pPr>
            <w:r>
              <w:rPr>
                <w:rFonts w:ascii="Century Gothic" w:hAnsi="Century Gothic"/>
                <w:noProof/>
                <w:sz w:val="18"/>
                <w:lang w:eastAsia="en-US"/>
              </w:rPr>
              <w:drawing>
                <wp:anchor distT="0" distB="0" distL="114300" distR="114300" simplePos="0" relativeHeight="251668992" behindDoc="0" locked="0" layoutInCell="1" allowOverlap="1" wp14:anchorId="6D67CE83" wp14:editId="426A7159">
                  <wp:simplePos x="0" y="0"/>
                  <wp:positionH relativeFrom="column">
                    <wp:posOffset>2540</wp:posOffset>
                  </wp:positionH>
                  <wp:positionV relativeFrom="paragraph">
                    <wp:posOffset>4445</wp:posOffset>
                  </wp:positionV>
                  <wp:extent cx="1586230" cy="476885"/>
                  <wp:effectExtent l="0" t="0" r="127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7"/>
                          <a:srcRect b="27131"/>
                          <a:stretch/>
                        </pic:blipFill>
                        <pic:spPr bwMode="auto">
                          <a:xfrm>
                            <a:off x="0" y="0"/>
                            <a:ext cx="1586230" cy="47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46E78" w:rsidRPr="001E5932" w14:paraId="0C3EE940" w14:textId="77777777" w:rsidTr="00046E78">
        <w:trPr>
          <w:trHeight w:val="213"/>
        </w:trPr>
        <w:tc>
          <w:tcPr>
            <w:tcW w:w="3535" w:type="dxa"/>
            <w:shd w:val="clear" w:color="auto" w:fill="auto"/>
          </w:tcPr>
          <w:p w14:paraId="49134A96" w14:textId="77777777" w:rsidR="00046E78" w:rsidRPr="00A03F0B" w:rsidRDefault="00046E78" w:rsidP="00046E78">
            <w:pPr>
              <w:jc w:val="center"/>
              <w:rPr>
                <w:rFonts w:ascii="Century Gothic" w:hAnsi="Century Gothic"/>
                <w:color w:val="1F497D" w:themeColor="text2"/>
                <w:sz w:val="16"/>
                <w:szCs w:val="16"/>
                <w:lang w:val="fr-FR"/>
              </w:rPr>
            </w:pPr>
            <w:r w:rsidRPr="00A03F0B">
              <w:rPr>
                <w:rFonts w:ascii="Century Gothic" w:hAnsi="Century Gothic"/>
                <w:color w:val="1F497D" w:themeColor="text2"/>
                <w:sz w:val="16"/>
                <w:szCs w:val="16"/>
                <w:lang w:val="fr-FR"/>
              </w:rPr>
              <w:t>Master de Sciences, Technologies, Santé</w:t>
            </w:r>
          </w:p>
        </w:tc>
        <w:tc>
          <w:tcPr>
            <w:tcW w:w="3331" w:type="dxa"/>
            <w:shd w:val="clear" w:color="auto" w:fill="auto"/>
          </w:tcPr>
          <w:p w14:paraId="04214ACA" w14:textId="77777777" w:rsidR="00046E78" w:rsidRPr="00A03F0B" w:rsidRDefault="00046E78" w:rsidP="00046E78">
            <w:pPr>
              <w:jc w:val="center"/>
              <w:rPr>
                <w:rFonts w:ascii="Century Gothic" w:hAnsi="Century Gothic"/>
                <w:color w:val="1F497D" w:themeColor="text2"/>
                <w:sz w:val="16"/>
                <w:szCs w:val="16"/>
                <w:lang w:val="fr-FR"/>
              </w:rPr>
            </w:pPr>
            <w:r w:rsidRPr="00A03F0B">
              <w:rPr>
                <w:rFonts w:ascii="Century Gothic" w:hAnsi="Century Gothic"/>
                <w:color w:val="1F497D" w:themeColor="text2"/>
                <w:sz w:val="16"/>
                <w:szCs w:val="16"/>
                <w:lang w:val="fr-FR"/>
              </w:rPr>
              <w:t>www.master.bmc.</w:t>
            </w:r>
            <w:r>
              <w:rPr>
                <w:rFonts w:ascii="Century Gothic" w:hAnsi="Century Gothic"/>
                <w:color w:val="1F497D" w:themeColor="text2"/>
                <w:sz w:val="16"/>
                <w:szCs w:val="16"/>
                <w:lang w:val="fr-FR"/>
              </w:rPr>
              <w:t>sorbonne-universite</w:t>
            </w:r>
            <w:r w:rsidRPr="00A03F0B">
              <w:rPr>
                <w:rFonts w:ascii="Century Gothic" w:hAnsi="Century Gothic"/>
                <w:color w:val="1F497D" w:themeColor="text2"/>
                <w:sz w:val="16"/>
                <w:szCs w:val="16"/>
                <w:lang w:val="fr-FR"/>
              </w:rPr>
              <w:t>.fr</w:t>
            </w:r>
          </w:p>
        </w:tc>
      </w:tr>
    </w:tbl>
    <w:p w14:paraId="6486E2C3" w14:textId="0312E2A7" w:rsidR="007702FF" w:rsidRDefault="00142ED1">
      <w:pPr>
        <w:rPr>
          <w:noProof/>
          <w:lang w:val="fr-FR"/>
        </w:rPr>
      </w:pPr>
      <w:r>
        <w:rPr>
          <w:noProof/>
          <w:lang w:eastAsia="en-US"/>
        </w:rPr>
        <mc:AlternateContent>
          <mc:Choice Requires="wps">
            <w:drawing>
              <wp:anchor distT="0" distB="0" distL="114300" distR="114300" simplePos="0" relativeHeight="251654656" behindDoc="0" locked="0" layoutInCell="1" allowOverlap="1" wp14:anchorId="3663B6B1" wp14:editId="42CE4A14">
                <wp:simplePos x="0" y="0"/>
                <wp:positionH relativeFrom="column">
                  <wp:posOffset>5763260</wp:posOffset>
                </wp:positionH>
                <wp:positionV relativeFrom="page">
                  <wp:posOffset>427990</wp:posOffset>
                </wp:positionV>
                <wp:extent cx="4319905" cy="5816600"/>
                <wp:effectExtent l="0" t="0" r="0" b="0"/>
                <wp:wrapThrough wrapText="bothSides">
                  <wp:wrapPolygon edited="0">
                    <wp:start x="318" y="47"/>
                    <wp:lineTo x="318" y="21506"/>
                    <wp:lineTo x="21209" y="21506"/>
                    <wp:lineTo x="21209" y="47"/>
                    <wp:lineTo x="318" y="47"/>
                  </wp:wrapPolygon>
                </wp:wrapThrough>
                <wp:docPr id="2" name="Zone de texte 2"/>
                <wp:cNvGraphicFramePr/>
                <a:graphic xmlns:a="http://schemas.openxmlformats.org/drawingml/2006/main">
                  <a:graphicData uri="http://schemas.microsoft.com/office/word/2010/wordprocessingShape">
                    <wps:wsp>
                      <wps:cNvSpPr txBox="1"/>
                      <wps:spPr>
                        <a:xfrm>
                          <a:off x="0" y="0"/>
                          <a:ext cx="4319905" cy="581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590CE4B" w14:textId="77777777" w:rsidR="00637977" w:rsidRDefault="00637977" w:rsidP="00637977">
                            <w:pPr>
                              <w:jc w:val="both"/>
                              <w:rPr>
                                <w:rFonts w:ascii="Century Gothic" w:hAnsi="Century Gothic" w:cs="Georgia"/>
                                <w:b/>
                                <w:color w:val="1F497D" w:themeColor="text2"/>
                                <w:sz w:val="16"/>
                                <w:szCs w:val="16"/>
                                <w:lang w:val="fr-FR"/>
                              </w:rPr>
                            </w:pPr>
                          </w:p>
                          <w:p w14:paraId="4F470A28" w14:textId="77777777" w:rsidR="00637977" w:rsidRDefault="00637977" w:rsidP="00637977">
                            <w:pPr>
                              <w:jc w:val="both"/>
                              <w:rPr>
                                <w:rFonts w:ascii="Century Gothic" w:hAnsi="Century Gothic" w:cs="Georgia"/>
                                <w:b/>
                                <w:color w:val="1F497D" w:themeColor="text2"/>
                                <w:sz w:val="16"/>
                                <w:szCs w:val="16"/>
                                <w:lang w:val="fr-FR"/>
                              </w:rPr>
                            </w:pPr>
                            <w:r w:rsidRPr="00A03F0B">
                              <w:rPr>
                                <w:rFonts w:ascii="Century Gothic" w:hAnsi="Century Gothic" w:cs="Georgia"/>
                                <w:b/>
                                <w:color w:val="1F497D" w:themeColor="text2"/>
                                <w:sz w:val="16"/>
                                <w:szCs w:val="16"/>
                                <w:lang w:val="fr-FR"/>
                              </w:rPr>
                              <w:t>Mots-clés</w:t>
                            </w:r>
                          </w:p>
                          <w:p w14:paraId="735D848F"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65B34E98" w14:textId="77777777" w:rsidR="001D750A" w:rsidRPr="00637977" w:rsidRDefault="00981280" w:rsidP="00637977">
                            <w:pPr>
                              <w:spacing w:line="276" w:lineRule="auto"/>
                              <w:jc w:val="both"/>
                              <w:rPr>
                                <w:rFonts w:ascii="Century Gothic" w:eastAsia="Comic Sans MS" w:hAnsi="Century Gothic" w:cs="Comic Sans MS"/>
                                <w:bCs/>
                                <w:color w:val="000000"/>
                                <w:sz w:val="16"/>
                                <w:szCs w:val="16"/>
                                <w:lang w:val="fr-FR"/>
                              </w:rPr>
                            </w:pPr>
                            <w:r w:rsidRPr="00981280">
                              <w:rPr>
                                <w:rFonts w:ascii="Century Gothic" w:eastAsia="Comic Sans MS" w:hAnsi="Century Gothic" w:cs="Comic Sans MS"/>
                                <w:bCs/>
                                <w:color w:val="000000"/>
                                <w:sz w:val="16"/>
                                <w:szCs w:val="16"/>
                                <w:lang w:val="fr-FR"/>
                              </w:rPr>
                              <w:t>Cancer ; Instabilité Génétique ; Recombinaison, Réplication et Réparation de l’ADN ; Modèles murins ; Signalisation cellulaire</w:t>
                            </w:r>
                            <w:r>
                              <w:rPr>
                                <w:rFonts w:ascii="Century Gothic" w:eastAsia="Comic Sans MS" w:hAnsi="Century Gothic" w:cs="Comic Sans MS"/>
                                <w:bCs/>
                                <w:color w:val="000000"/>
                                <w:sz w:val="16"/>
                                <w:szCs w:val="16"/>
                                <w:lang w:val="fr-FR"/>
                              </w:rPr>
                              <w:t xml:space="preserve"> </w:t>
                            </w:r>
                            <w:r w:rsidRPr="00981280">
                              <w:rPr>
                                <w:rFonts w:ascii="Century Gothic" w:eastAsia="Comic Sans MS" w:hAnsi="Century Gothic" w:cs="Comic Sans MS"/>
                                <w:bCs/>
                                <w:color w:val="000000"/>
                                <w:sz w:val="16"/>
                                <w:szCs w:val="16"/>
                                <w:lang w:val="fr-FR"/>
                              </w:rPr>
                              <w:t>; Développement ; Cellules souches, Epigénétique.</w:t>
                            </w:r>
                          </w:p>
                          <w:p w14:paraId="2ADB05BF" w14:textId="77777777" w:rsidR="001D750A" w:rsidRDefault="001D750A" w:rsidP="005D70EB">
                            <w:pPr>
                              <w:jc w:val="both"/>
                              <w:rPr>
                                <w:rFonts w:ascii="Century Gothic" w:hAnsi="Century Gothic"/>
                                <w:b/>
                                <w:color w:val="1F497D" w:themeColor="text2"/>
                                <w:sz w:val="16"/>
                                <w:szCs w:val="16"/>
                                <w:lang w:val="fr-FR"/>
                              </w:rPr>
                            </w:pPr>
                          </w:p>
                          <w:p w14:paraId="2F7832C6" w14:textId="77777777" w:rsidR="005D70EB" w:rsidRDefault="005D70EB" w:rsidP="005D70EB">
                            <w:pPr>
                              <w:jc w:val="both"/>
                              <w:rPr>
                                <w:rFonts w:ascii="Century Gothic" w:hAnsi="Century Gothic"/>
                                <w:b/>
                                <w:color w:val="1F497D" w:themeColor="text2"/>
                                <w:sz w:val="16"/>
                                <w:szCs w:val="16"/>
                                <w:lang w:val="fr-FR"/>
                              </w:rPr>
                            </w:pPr>
                            <w:r w:rsidRPr="001D750A">
                              <w:rPr>
                                <w:rFonts w:ascii="Century Gothic" w:hAnsi="Century Gothic"/>
                                <w:b/>
                                <w:color w:val="1F497D" w:themeColor="text2"/>
                                <w:sz w:val="16"/>
                                <w:szCs w:val="16"/>
                                <w:lang w:val="fr-FR"/>
                              </w:rPr>
                              <w:t>Organisation</w:t>
                            </w:r>
                          </w:p>
                          <w:p w14:paraId="3140AD39" w14:textId="77777777" w:rsidR="001D750A" w:rsidRPr="00A03F0B" w:rsidRDefault="001D750A" w:rsidP="00637977">
                            <w:pPr>
                              <w:spacing w:line="80" w:lineRule="exact"/>
                              <w:jc w:val="both"/>
                              <w:rPr>
                                <w:rFonts w:ascii="Century Gothic" w:hAnsi="Century Gothic" w:cs="Georgia"/>
                                <w:b/>
                                <w:color w:val="1F497D" w:themeColor="text2"/>
                                <w:sz w:val="16"/>
                                <w:szCs w:val="16"/>
                                <w:lang w:val="fr-FR"/>
                              </w:rPr>
                            </w:pPr>
                          </w:p>
                          <w:p w14:paraId="19422EA3"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Le parcours pédagogique de chaque étudiant inclut l’une des deux UE de spécialisation suivantes :</w:t>
                            </w:r>
                          </w:p>
                          <w:p w14:paraId="1B03EF45"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 Le cours "Gén</w:t>
                            </w:r>
                            <w:r w:rsidR="003A07CD">
                              <w:rPr>
                                <w:rFonts w:ascii="Century Gothic" w:eastAsia="Comic Sans MS" w:hAnsi="Century Gothic" w:cs="Comic Sans MS"/>
                                <w:bCs/>
                                <w:color w:val="000000"/>
                                <w:sz w:val="16"/>
                                <w:szCs w:val="16"/>
                                <w:lang w:val="fr-FR"/>
                              </w:rPr>
                              <w:t>étique et Epigénétique Moléculaires " (</w:t>
                            </w:r>
                            <w:r w:rsidR="00356936" w:rsidRPr="00356936">
                              <w:rPr>
                                <w:rFonts w:ascii="Century Gothic" w:eastAsia="Comic Sans MS" w:hAnsi="Century Gothic" w:cs="Comic Sans MS"/>
                                <w:bCs/>
                                <w:color w:val="000000"/>
                                <w:sz w:val="16"/>
                                <w:szCs w:val="16"/>
                                <w:lang w:val="fr-FR"/>
                              </w:rPr>
                              <w:t>MU5BM824</w:t>
                            </w:r>
                            <w:r w:rsidRPr="00C606A9">
                              <w:rPr>
                                <w:rFonts w:ascii="Century Gothic" w:eastAsia="Comic Sans MS" w:hAnsi="Century Gothic" w:cs="Comic Sans MS"/>
                                <w:bCs/>
                                <w:color w:val="000000"/>
                                <w:sz w:val="16"/>
                                <w:szCs w:val="16"/>
                                <w:lang w:val="fr-FR"/>
                              </w:rPr>
                              <w:t>, 12 ECTS) a pour objectif d’approfondir les aspects techniques et conceptuels de la recherche en génétique et en épigénétique, notamment dans le cadre de l’oncogenèse. Il vise à analyser les mécanismes régulant l’expression et la stabilité des génomes des cellules eucaryotes, ainsi que ceux qui contrôlent la progression dans le cycle cellulaire.</w:t>
                            </w:r>
                          </w:p>
                          <w:p w14:paraId="00FEEB8F" w14:textId="50505CAB"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 Le cou</w:t>
                            </w:r>
                            <w:r w:rsidR="003A07CD">
                              <w:rPr>
                                <w:rFonts w:ascii="Century Gothic" w:eastAsia="Comic Sans MS" w:hAnsi="Century Gothic" w:cs="Comic Sans MS"/>
                                <w:bCs/>
                                <w:color w:val="000000"/>
                                <w:sz w:val="16"/>
                                <w:szCs w:val="16"/>
                                <w:lang w:val="fr-FR"/>
                              </w:rPr>
                              <w:t xml:space="preserve">rs "Génétique de la </w:t>
                            </w:r>
                            <w:r w:rsidR="001E5932">
                              <w:rPr>
                                <w:rFonts w:ascii="Century Gothic" w:eastAsia="Comic Sans MS" w:hAnsi="Century Gothic" w:cs="Comic Sans MS"/>
                                <w:bCs/>
                                <w:color w:val="000000"/>
                                <w:sz w:val="16"/>
                                <w:szCs w:val="16"/>
                                <w:lang w:val="fr-FR"/>
                              </w:rPr>
                              <w:t>S</w:t>
                            </w:r>
                            <w:bookmarkStart w:id="0" w:name="_GoBack"/>
                            <w:bookmarkEnd w:id="0"/>
                            <w:r w:rsidR="003A07CD">
                              <w:rPr>
                                <w:rFonts w:ascii="Century Gothic" w:eastAsia="Comic Sans MS" w:hAnsi="Century Gothic" w:cs="Comic Sans MS"/>
                                <w:bCs/>
                                <w:color w:val="000000"/>
                                <w:sz w:val="16"/>
                                <w:szCs w:val="16"/>
                                <w:lang w:val="fr-FR"/>
                              </w:rPr>
                              <w:t>ouris" (</w:t>
                            </w:r>
                            <w:r w:rsidR="00356936" w:rsidRPr="00356936">
                              <w:rPr>
                                <w:rFonts w:ascii="Century Gothic" w:eastAsia="Comic Sans MS" w:hAnsi="Century Gothic" w:cs="Comic Sans MS"/>
                                <w:bCs/>
                                <w:color w:val="000000"/>
                                <w:sz w:val="16"/>
                                <w:szCs w:val="16"/>
                                <w:lang w:val="fr-FR"/>
                              </w:rPr>
                              <w:t>MU5BM813</w:t>
                            </w:r>
                            <w:r w:rsidRPr="00C606A9">
                              <w:rPr>
                                <w:rFonts w:ascii="Century Gothic" w:eastAsia="Comic Sans MS" w:hAnsi="Century Gothic" w:cs="Comic Sans MS"/>
                                <w:bCs/>
                                <w:color w:val="000000"/>
                                <w:sz w:val="16"/>
                                <w:szCs w:val="16"/>
                                <w:lang w:val="fr-FR"/>
                              </w:rPr>
                              <w:t xml:space="preserve">, 12 ECTS) s’adresse aux étudiants souhaitant acquérir une formation complète à l’utilisation de cet animal comme système modèle des pathologies humaines, notamment le cancer. Il s’adresse également aux étudiants intéressés par la biologie des cellules souches (cellules ES, IPS, …) ou la biologie du développement - à ce titre, il peut être suivi par les étudiants des </w:t>
                            </w:r>
                            <w:r w:rsidR="007A3050">
                              <w:rPr>
                                <w:rFonts w:ascii="Century Gothic" w:eastAsia="Comic Sans MS" w:hAnsi="Century Gothic" w:cs="Comic Sans MS"/>
                                <w:bCs/>
                                <w:color w:val="000000"/>
                                <w:sz w:val="16"/>
                                <w:szCs w:val="16"/>
                                <w:lang w:val="fr-FR"/>
                              </w:rPr>
                              <w:t xml:space="preserve">thématiques </w:t>
                            </w:r>
                            <w:r w:rsidRPr="00C606A9">
                              <w:rPr>
                                <w:rFonts w:ascii="Century Gothic" w:eastAsia="Comic Sans MS" w:hAnsi="Century Gothic" w:cs="Comic Sans MS"/>
                                <w:bCs/>
                                <w:color w:val="000000"/>
                                <w:sz w:val="16"/>
                                <w:szCs w:val="16"/>
                                <w:lang w:val="fr-FR"/>
                              </w:rPr>
                              <w:t xml:space="preserve">"Biologie des cellules souches" et "Biologie du développement" </w:t>
                            </w:r>
                            <w:r w:rsidR="007A3050">
                              <w:rPr>
                                <w:rFonts w:ascii="Century Gothic" w:eastAsia="Comic Sans MS" w:hAnsi="Century Gothic" w:cs="Comic Sans MS"/>
                                <w:bCs/>
                                <w:color w:val="000000"/>
                                <w:sz w:val="16"/>
                                <w:szCs w:val="16"/>
                                <w:lang w:val="fr-FR"/>
                              </w:rPr>
                              <w:t>du parcours</w:t>
                            </w:r>
                            <w:r w:rsidRPr="00C606A9">
                              <w:rPr>
                                <w:rFonts w:ascii="Century Gothic" w:eastAsia="Comic Sans MS" w:hAnsi="Century Gothic" w:cs="Comic Sans MS"/>
                                <w:bCs/>
                                <w:color w:val="000000"/>
                                <w:sz w:val="16"/>
                                <w:szCs w:val="16"/>
                                <w:lang w:val="fr-FR"/>
                              </w:rPr>
                              <w:t xml:space="preserve"> "Biologie cellulaire, Biologie du développement &amp; Biologie des cellules souches".</w:t>
                            </w:r>
                          </w:p>
                          <w:p w14:paraId="4E9F76FC" w14:textId="77777777" w:rsidR="00BB3428" w:rsidRDefault="00BB3428" w:rsidP="00637977">
                            <w:pPr>
                              <w:spacing w:line="276" w:lineRule="auto"/>
                              <w:jc w:val="both"/>
                              <w:rPr>
                                <w:rFonts w:ascii="Century Gothic" w:eastAsia="Comic Sans MS" w:hAnsi="Century Gothic" w:cs="Comic Sans MS"/>
                                <w:bCs/>
                                <w:color w:val="000000"/>
                                <w:sz w:val="16"/>
                                <w:szCs w:val="16"/>
                                <w:lang w:val="fr-FR"/>
                              </w:rPr>
                            </w:pPr>
                          </w:p>
                          <w:p w14:paraId="56A47791"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La formation comprend également une UE d’analyse scientifique (</w:t>
                            </w:r>
                            <w:r w:rsidR="00356936" w:rsidRPr="00356936">
                              <w:rPr>
                                <w:rFonts w:ascii="Century Gothic" w:eastAsia="Comic Sans MS" w:hAnsi="Century Gothic" w:cs="Comic Sans MS"/>
                                <w:bCs/>
                                <w:color w:val="000000"/>
                                <w:sz w:val="16"/>
                                <w:szCs w:val="16"/>
                                <w:lang w:val="fr-FR"/>
                              </w:rPr>
                              <w:t>MU5BM051</w:t>
                            </w:r>
                            <w:r w:rsidRPr="00C606A9">
                              <w:rPr>
                                <w:rFonts w:ascii="Century Gothic" w:eastAsia="Comic Sans MS" w:hAnsi="Century Gothic" w:cs="Comic Sans MS"/>
                                <w:bCs/>
                                <w:color w:val="000000"/>
                                <w:sz w:val="16"/>
                                <w:szCs w:val="16"/>
                                <w:lang w:val="fr-FR"/>
                              </w:rPr>
                              <w:t>, 6 ECTS), une UE de stage (</w:t>
                            </w:r>
                            <w:r w:rsidR="007458A5" w:rsidRPr="007458A5">
                              <w:rPr>
                                <w:rFonts w:ascii="Century Gothic" w:eastAsia="Comic Sans MS" w:hAnsi="Century Gothic" w:cs="Comic Sans MS"/>
                                <w:bCs/>
                                <w:color w:val="000000"/>
                                <w:sz w:val="16"/>
                                <w:szCs w:val="16"/>
                                <w:lang w:val="fr-FR"/>
                              </w:rPr>
                              <w:t>MU5BMSO6</w:t>
                            </w:r>
                            <w:r w:rsidRPr="00C606A9">
                              <w:rPr>
                                <w:rFonts w:ascii="Century Gothic" w:eastAsia="Comic Sans MS" w:hAnsi="Century Gothic" w:cs="Comic Sans MS"/>
                                <w:bCs/>
                                <w:color w:val="000000"/>
                                <w:sz w:val="16"/>
                                <w:szCs w:val="16"/>
                                <w:lang w:val="fr-FR"/>
                              </w:rPr>
                              <w:t>, 30 ECTS) et une ou deux UE d’ouverture (6 ECTS au total).</w:t>
                            </w:r>
                          </w:p>
                          <w:p w14:paraId="7E8BC8B1" w14:textId="77777777" w:rsidR="00C606A9" w:rsidRPr="001846C9" w:rsidRDefault="00D54DF4" w:rsidP="00D54DF4">
                            <w:pPr>
                              <w:spacing w:line="276" w:lineRule="auto"/>
                              <w:jc w:val="both"/>
                              <w:rPr>
                                <w:rFonts w:ascii="Century Gothic" w:eastAsia="Comic Sans MS" w:hAnsi="Century Gothic" w:cs="Comic Sans MS"/>
                                <w:bCs/>
                                <w:color w:val="000000"/>
                                <w:sz w:val="16"/>
                                <w:szCs w:val="16"/>
                                <w:lang w:val="fr-FR"/>
                              </w:rPr>
                            </w:pPr>
                            <w:r w:rsidRPr="000C754F">
                              <w:rPr>
                                <w:rFonts w:ascii="Century Gothic" w:eastAsia="Comic Sans MS" w:hAnsi="Century Gothic" w:cs="Comic Sans MS"/>
                                <w:bCs/>
                                <w:color w:val="000000"/>
                                <w:sz w:val="16"/>
                                <w:szCs w:val="16"/>
                                <w:lang w:val="fr-FR"/>
                              </w:rPr>
                              <w:t xml:space="preserve">L’enseignement d’ouverture consiste généralement en une UE de 6 ECTS parmi les trois conseillées dans le cadre de la thématique. Deux de ces UE sont organisées en partenariat avec l’Institut Curie et consacrées au </w:t>
                            </w:r>
                            <w:r w:rsidR="000C754F" w:rsidRPr="000C754F">
                              <w:rPr>
                                <w:rFonts w:ascii="Century Gothic" w:eastAsia="Comic Sans MS" w:hAnsi="Century Gothic" w:cs="Comic Sans MS"/>
                                <w:bCs/>
                                <w:color w:val="000000"/>
                                <w:sz w:val="16"/>
                                <w:szCs w:val="16"/>
                                <w:lang w:val="fr-FR"/>
                              </w:rPr>
                              <w:t>génome non-codant</w:t>
                            </w:r>
                            <w:r w:rsidRPr="000C754F">
                              <w:rPr>
                                <w:rFonts w:ascii="Century Gothic" w:eastAsia="Comic Sans MS" w:hAnsi="Century Gothic" w:cs="Comic Sans MS"/>
                                <w:bCs/>
                                <w:color w:val="000000"/>
                                <w:sz w:val="16"/>
                                <w:szCs w:val="16"/>
                                <w:lang w:val="fr-FR"/>
                              </w:rPr>
                              <w:t xml:space="preserve"> (</w:t>
                            </w:r>
                            <w:r w:rsidR="00356936" w:rsidRPr="00356936">
                              <w:rPr>
                                <w:rFonts w:ascii="Century Gothic" w:eastAsia="Comic Sans MS" w:hAnsi="Century Gothic" w:cs="Comic Sans MS"/>
                                <w:bCs/>
                                <w:color w:val="000000"/>
                                <w:sz w:val="16"/>
                                <w:szCs w:val="16"/>
                                <w:lang w:val="fr-FR"/>
                              </w:rPr>
                              <w:t>MU5BM429</w:t>
                            </w:r>
                            <w:r w:rsidRPr="000C754F">
                              <w:rPr>
                                <w:rFonts w:ascii="Century Gothic" w:eastAsia="Comic Sans MS" w:hAnsi="Century Gothic" w:cs="Comic Sans MS"/>
                                <w:bCs/>
                                <w:color w:val="000000"/>
                                <w:sz w:val="16"/>
                                <w:szCs w:val="16"/>
                                <w:lang w:val="fr-FR"/>
                              </w:rPr>
                              <w:t>, 6 ECTS) et à l’épigénétique (</w:t>
                            </w:r>
                            <w:r w:rsidR="00356936" w:rsidRPr="00356936">
                              <w:rPr>
                                <w:rFonts w:ascii="Century Gothic" w:eastAsia="Comic Sans MS" w:hAnsi="Century Gothic" w:cs="Comic Sans MS"/>
                                <w:bCs/>
                                <w:color w:val="000000"/>
                                <w:sz w:val="16"/>
                                <w:szCs w:val="16"/>
                                <w:lang w:val="fr-FR"/>
                              </w:rPr>
                              <w:t>MU5BM460</w:t>
                            </w:r>
                            <w:r w:rsidRPr="000C754F">
                              <w:rPr>
                                <w:rFonts w:ascii="Century Gothic" w:eastAsia="Comic Sans MS" w:hAnsi="Century Gothic" w:cs="Comic Sans MS"/>
                                <w:bCs/>
                                <w:color w:val="000000"/>
                                <w:sz w:val="16"/>
                                <w:szCs w:val="16"/>
                                <w:lang w:val="fr-FR"/>
                              </w:rPr>
                              <w:t>, 6 ECTS), tandis que la troisième est une UE généraliste de cancérologie moléculaire (</w:t>
                            </w:r>
                            <w:r w:rsidR="00396820" w:rsidRPr="00396820">
                              <w:rPr>
                                <w:rFonts w:ascii="Century Gothic" w:eastAsia="Comic Sans MS" w:hAnsi="Century Gothic" w:cs="Comic Sans MS"/>
                                <w:bCs/>
                                <w:color w:val="000000"/>
                                <w:sz w:val="16"/>
                                <w:szCs w:val="16"/>
                                <w:lang w:val="fr-FR"/>
                              </w:rPr>
                              <w:t>MU4BM114</w:t>
                            </w:r>
                            <w:r w:rsidRPr="000C754F">
                              <w:rPr>
                                <w:rFonts w:ascii="Century Gothic" w:eastAsia="Comic Sans MS" w:hAnsi="Century Gothic" w:cs="Comic Sans MS"/>
                                <w:bCs/>
                                <w:color w:val="000000"/>
                                <w:sz w:val="16"/>
                                <w:szCs w:val="16"/>
                                <w:lang w:val="fr-FR"/>
                              </w:rPr>
                              <w:t>, 6ECTS) recommandée pour certains étudiants.</w:t>
                            </w:r>
                            <w:r w:rsidR="00C606A9" w:rsidRPr="001846C9">
                              <w:rPr>
                                <w:rFonts w:ascii="Century Gothic" w:eastAsia="Comic Sans MS" w:hAnsi="Century Gothic" w:cs="Comic Sans MS"/>
                                <w:bCs/>
                                <w:color w:val="000000"/>
                                <w:sz w:val="16"/>
                                <w:szCs w:val="16"/>
                                <w:lang w:val="fr-FR"/>
                              </w:rPr>
                              <w:t xml:space="preserve"> </w:t>
                            </w:r>
                          </w:p>
                          <w:p w14:paraId="539F3865" w14:textId="77777777" w:rsidR="005D70EB" w:rsidRPr="001846C9" w:rsidRDefault="005D70EB" w:rsidP="005D70EB">
                            <w:pPr>
                              <w:jc w:val="both"/>
                              <w:rPr>
                                <w:rFonts w:ascii="Century Gothic" w:hAnsi="Century Gothic"/>
                                <w:color w:val="000000"/>
                                <w:sz w:val="16"/>
                                <w:szCs w:val="16"/>
                                <w:lang w:val="fr-FR"/>
                              </w:rPr>
                            </w:pPr>
                          </w:p>
                          <w:p w14:paraId="1E434B8B" w14:textId="77777777" w:rsidR="005D70EB" w:rsidRPr="001846C9" w:rsidRDefault="005D70EB" w:rsidP="005D70EB">
                            <w:pPr>
                              <w:jc w:val="both"/>
                              <w:rPr>
                                <w:rFonts w:ascii="Century Gothic" w:hAnsi="Century Gothic"/>
                                <w:b/>
                                <w:color w:val="1F497D" w:themeColor="text2"/>
                                <w:sz w:val="16"/>
                                <w:szCs w:val="16"/>
                                <w:lang w:val="fr-FR"/>
                              </w:rPr>
                            </w:pPr>
                            <w:r w:rsidRPr="001846C9">
                              <w:rPr>
                                <w:rFonts w:ascii="Century Gothic" w:hAnsi="Century Gothic"/>
                                <w:b/>
                                <w:color w:val="1F497D" w:themeColor="text2"/>
                                <w:sz w:val="16"/>
                                <w:szCs w:val="16"/>
                                <w:lang w:val="fr-FR"/>
                              </w:rPr>
                              <w:t>Contact</w:t>
                            </w:r>
                            <w:r w:rsidR="001D750A" w:rsidRPr="001846C9">
                              <w:rPr>
                                <w:rFonts w:ascii="Century Gothic" w:hAnsi="Century Gothic"/>
                                <w:b/>
                                <w:color w:val="1F497D" w:themeColor="text2"/>
                                <w:sz w:val="16"/>
                                <w:szCs w:val="16"/>
                                <w:lang w:val="fr-FR"/>
                              </w:rPr>
                              <w:t>s</w:t>
                            </w:r>
                          </w:p>
                          <w:p w14:paraId="16B5C69A" w14:textId="77777777" w:rsidR="001D750A" w:rsidRPr="001846C9" w:rsidRDefault="001D750A" w:rsidP="001D750A">
                            <w:pPr>
                              <w:ind w:right="35"/>
                              <w:jc w:val="both"/>
                              <w:rPr>
                                <w:rFonts w:ascii="Century Gothic" w:hAnsi="Century Gothic"/>
                                <w:b/>
                                <w:sz w:val="16"/>
                                <w:szCs w:val="16"/>
                                <w:lang w:val="fr-FR"/>
                              </w:rPr>
                            </w:pPr>
                            <w:r w:rsidRPr="001846C9">
                              <w:rPr>
                                <w:rFonts w:ascii="Century Gothic" w:hAnsi="Century Gothic"/>
                                <w:b/>
                                <w:color w:val="1F497D" w:themeColor="text2"/>
                                <w:sz w:val="16"/>
                                <w:szCs w:val="16"/>
                                <w:lang w:val="fr-FR"/>
                              </w:rPr>
                              <w:t>Responsable pédagogique</w:t>
                            </w:r>
                            <w:r w:rsidRPr="001846C9">
                              <w:rPr>
                                <w:rFonts w:ascii="Century Gothic" w:hAnsi="Century Gothic"/>
                                <w:b/>
                                <w:color w:val="1F497D" w:themeColor="text2"/>
                                <w:sz w:val="16"/>
                                <w:szCs w:val="16"/>
                                <w:lang w:val="fr-FR"/>
                              </w:rPr>
                              <w:tab/>
                            </w:r>
                            <w:r w:rsidRPr="001846C9">
                              <w:rPr>
                                <w:rFonts w:ascii="Century Gothic" w:hAnsi="Century Gothic"/>
                                <w:b/>
                                <w:color w:val="1F497D" w:themeColor="text2"/>
                                <w:sz w:val="16"/>
                                <w:szCs w:val="16"/>
                                <w:lang w:val="fr-FR"/>
                              </w:rPr>
                              <w:tab/>
                            </w:r>
                            <w:r w:rsidR="00BD0105" w:rsidRPr="001846C9">
                              <w:rPr>
                                <w:rFonts w:ascii="Century Gothic" w:hAnsi="Century Gothic"/>
                                <w:b/>
                                <w:color w:val="1F497D" w:themeColor="text2"/>
                                <w:sz w:val="16"/>
                                <w:szCs w:val="16"/>
                                <w:lang w:val="fr-FR"/>
                              </w:rPr>
                              <w:t>Secrétariat pédagogique</w:t>
                            </w:r>
                          </w:p>
                          <w:p w14:paraId="5690B0C6" w14:textId="77777777" w:rsidR="001D750A" w:rsidRPr="001846C9" w:rsidRDefault="00C606A9" w:rsidP="001D750A">
                            <w:pPr>
                              <w:ind w:right="35"/>
                              <w:jc w:val="both"/>
                              <w:rPr>
                                <w:rFonts w:ascii="Century Gothic" w:hAnsi="Century Gothic"/>
                                <w:sz w:val="16"/>
                                <w:szCs w:val="16"/>
                                <w:lang w:val="fr-FR"/>
                              </w:rPr>
                            </w:pPr>
                            <w:r w:rsidRPr="001846C9">
                              <w:rPr>
                                <w:rFonts w:ascii="Century Gothic" w:eastAsia="Comic Sans MS" w:hAnsi="Century Gothic" w:cs="Comic Sans MS"/>
                                <w:bCs/>
                                <w:color w:val="000000"/>
                                <w:sz w:val="16"/>
                                <w:szCs w:val="16"/>
                                <w:lang w:val="fr-FR"/>
                              </w:rPr>
                              <w:t>Pr Franck Toledo</w:t>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rsidR="001D750A" w:rsidRPr="001846C9">
                              <w:rPr>
                                <w:rFonts w:ascii="Century Gothic" w:hAnsi="Century Gothic"/>
                                <w:bCs/>
                                <w:sz w:val="16"/>
                                <w:szCs w:val="16"/>
                                <w:lang w:val="fr-FR"/>
                              </w:rPr>
                              <w:t>Carine Joseph</w:t>
                            </w:r>
                          </w:p>
                          <w:p w14:paraId="6E02B6FD" w14:textId="35264D5B" w:rsidR="00A6224F" w:rsidRPr="00356936" w:rsidRDefault="001E5932" w:rsidP="00142ED1">
                            <w:pPr>
                              <w:ind w:right="35"/>
                              <w:jc w:val="both"/>
                              <w:rPr>
                                <w:rFonts w:ascii="Century Gothic" w:hAnsi="Century Gothic"/>
                                <w:sz w:val="16"/>
                                <w:szCs w:val="16"/>
                                <w:lang w:val="fr-FR"/>
                              </w:rPr>
                            </w:pPr>
                            <w:r>
                              <w:fldChar w:fldCharType="begin"/>
                            </w:r>
                            <w:r w:rsidRPr="001E5932">
                              <w:rPr>
                                <w:lang w:val="fr-FR"/>
                              </w:rPr>
                              <w:instrText xml:space="preserve"> HYPERLINK "mailto:franck.toledo@curie.fr" </w:instrText>
                            </w:r>
                            <w:r>
                              <w:fldChar w:fldCharType="separate"/>
                            </w:r>
                            <w:r w:rsidR="00C606A9" w:rsidRPr="008068E1">
                              <w:rPr>
                                <w:rStyle w:val="Lienhypertexte"/>
                                <w:rFonts w:ascii="Century Gothic" w:hAnsi="Century Gothic"/>
                                <w:bCs/>
                                <w:sz w:val="16"/>
                                <w:szCs w:val="16"/>
                                <w:lang w:val="fr-FR"/>
                              </w:rPr>
                              <w:t>franck.toledo@curie.fr</w:t>
                            </w:r>
                            <w:r>
                              <w:rPr>
                                <w:rStyle w:val="Lienhypertexte"/>
                                <w:rFonts w:ascii="Century Gothic" w:hAnsi="Century Gothic"/>
                                <w:bCs/>
                                <w:sz w:val="16"/>
                                <w:szCs w:val="16"/>
                                <w:lang w:val="fr-FR"/>
                              </w:rPr>
                              <w:fldChar w:fldCharType="end"/>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fldChar w:fldCharType="begin"/>
                            </w:r>
                            <w:r w:rsidRPr="001E5932">
                              <w:rPr>
                                <w:lang w:val="fr-FR"/>
                              </w:rPr>
                              <w:instrText xml:space="preserve"> HYPERLINK "mailto:carine.joseph@sorbonne-universite.fr" </w:instrText>
                            </w:r>
                            <w:r>
                              <w:fldChar w:fldCharType="separate"/>
                            </w:r>
                            <w:r w:rsidR="00142ED1" w:rsidRPr="00D20EA0">
                              <w:rPr>
                                <w:rStyle w:val="Lienhypertexte"/>
                                <w:rFonts w:ascii="Century Gothic" w:hAnsi="Century Gothic"/>
                                <w:sz w:val="16"/>
                                <w:szCs w:val="16"/>
                                <w:lang w:val="fr-FR"/>
                              </w:rPr>
                              <w:t>carine.joseph@sorbonne-universite.fr</w:t>
                            </w:r>
                            <w:r>
                              <w:rPr>
                                <w:rStyle w:val="Lienhypertexte"/>
                                <w:rFonts w:ascii="Century Gothic" w:hAnsi="Century Gothic"/>
                                <w:sz w:val="16"/>
                                <w:szCs w:val="16"/>
                                <w:lang w:val="fr-FR"/>
                              </w:rPr>
                              <w:fldChar w:fldCharType="end"/>
                            </w:r>
                          </w:p>
                          <w:p w14:paraId="793305C9" w14:textId="77777777" w:rsidR="001D750A" w:rsidRPr="001D750A" w:rsidRDefault="001D750A" w:rsidP="00A6224F">
                            <w:pPr>
                              <w:ind w:right="35"/>
                              <w:jc w:val="both"/>
                              <w:rPr>
                                <w:rFonts w:ascii="Century Gothic" w:hAnsi="Century Gothic"/>
                                <w:color w:val="1F497D" w:themeColor="text2"/>
                                <w:sz w:val="16"/>
                                <w:szCs w:val="16"/>
                                <w:lang w:val="fr-FR"/>
                              </w:rPr>
                            </w:pPr>
                          </w:p>
                          <w:p w14:paraId="3571F638" w14:textId="77777777" w:rsidR="00D91C46" w:rsidRPr="001D750A" w:rsidRDefault="00D91C46" w:rsidP="004C2504">
                            <w:pPr>
                              <w:ind w:right="35"/>
                              <w:rPr>
                                <w:rFonts w:ascii="Century Gothic" w:hAnsi="Century Gothic"/>
                                <w:color w:val="008000"/>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3B6B1" id="_x0000_t202" coordsize="21600,21600" o:spt="202" path="m,l,21600r21600,l21600,xe">
                <v:stroke joinstyle="miter"/>
                <v:path gradientshapeok="t" o:connecttype="rect"/>
              </v:shapetype>
              <v:shape id="Zone de texte 2" o:spid="_x0000_s1026" type="#_x0000_t202" style="position:absolute;margin-left:453.8pt;margin-top:33.7pt;width:340.15pt;height:4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csZQIAAKYEAAAOAAAAZHJzL2Uyb0RvYy54bWysVN9v2jAQfp+0/8HyO+THAoWIUKUgpklV&#10;W4lOlfZmHAciJT7PNiRs6v++swOUdXua9mLOd1/Od993x+y2a2pyENpUIDMaDUNKhORQVHKb0a/P&#10;q8GEEmOZLFgNUmT0KAy9nX/8MGtVKmLYQV0ITTCJNGmrMrqzVqVBYPhONMwMQQmJwRJ0wyxe9TYo&#10;NGsxe1MHcRiOgxZ0oTRwYQx6l32Qzn3+shTcPpalEZbUGcXarD+1PzfuDOYzlm41U7uKn8pg/1BF&#10;wyqJj15SLZllZK+rP1I1FddgoLRDDk0AZVlx4XvAbqLwXTfrHVPC94LkGHWhyfy/tPzh8KRJVWQ0&#10;pkSyBiX6hkKRQhArOitI7ChqlUkRuVaItd0ddCj12W/Q6TrvSt24X+yJYBzJPl4IxkyEozP5FE2n&#10;4YgSjrHRJBqPQy9B8Pa50sZ+FtAQZ2RUo4KeWHa4NxZLQegZ4l6TsKrq2qtYy98cCOw9wo9B/zVL&#10;sRQ0HdIV5SX6uRjdxPnNaDoY56NokEThZJDnYTxYrvIwD5PVYprcvbp+Mef5+8Bx0vfuLNttuhNR&#10;GyiOyJOGftiM4qsKe7lnxj4xjdOF1ODG2Ec8yhrajMLJomQH+sff/A6PomOUkhanNaPm+55pQUn9&#10;ReI4TKMkcePtLwm2gxd9HdlcR+S+WQAuRIS7qbg3Hd7WZ7PU0LzgYuXuVQwxyfHtjNqzubD9DuFi&#10;cpHnHoQDrZi9l2vFXWpHsVPquXthWp3kdDP1AOe5Zuk7VXtsL2O+t1BWXnJHcM8qSuAuuAxejNPi&#10;um27vnvU29/L/BcAAAD//wMAUEsDBBQABgAIAAAAIQBcN4oe3gAAAAsBAAAPAAAAZHJzL2Rvd25y&#10;ZXYueG1sTI/LTsMwEEX3SPyDNUjsqA2keRGnQiC2IMpDYjeNp0lEPI5itwl/j7uC5ege3Xum2ix2&#10;EEeafO9Yw/VKgSBunOm51fD+9nSVg/AB2eDgmDT8kIdNfX5WYWnczK903IZWxBL2JWroQhhLKX3T&#10;kUW/ciNxzPZushjiObXSTDjHcjvIG6VSabHnuNDhSA8dNd/bg9Xw8bz/+kzUS/to1+PsFiXZFlLr&#10;y4vl/g5EoCX8wXDSj+pQR6edO7DxYtBQqCyNqIY0S0CcgHWeFSB2McpvE5B1Jf//UP8CAAD//wMA&#10;UEsBAi0AFAAGAAgAAAAhALaDOJL+AAAA4QEAABMAAAAAAAAAAAAAAAAAAAAAAFtDb250ZW50X1R5&#10;cGVzXS54bWxQSwECLQAUAAYACAAAACEAOP0h/9YAAACUAQAACwAAAAAAAAAAAAAAAAAvAQAAX3Jl&#10;bHMvLnJlbHNQSwECLQAUAAYACAAAACEANT+HLGUCAACmBAAADgAAAAAAAAAAAAAAAAAuAgAAZHJz&#10;L2Uyb0RvYy54bWxQSwECLQAUAAYACAAAACEAXDeKHt4AAAALAQAADwAAAAAAAAAAAAAAAAC/BAAA&#10;ZHJzL2Rvd25yZXYueG1sUEsFBgAAAAAEAAQA8wAAAMoFAAAAAA==&#10;" filled="f" stroked="f">
                <v:textbox>
                  <w:txbxContent>
                    <w:p w14:paraId="7590CE4B" w14:textId="77777777" w:rsidR="00637977" w:rsidRDefault="00637977" w:rsidP="00637977">
                      <w:pPr>
                        <w:jc w:val="both"/>
                        <w:rPr>
                          <w:rFonts w:ascii="Century Gothic" w:hAnsi="Century Gothic" w:cs="Georgia"/>
                          <w:b/>
                          <w:color w:val="1F497D" w:themeColor="text2"/>
                          <w:sz w:val="16"/>
                          <w:szCs w:val="16"/>
                          <w:lang w:val="fr-FR"/>
                        </w:rPr>
                      </w:pPr>
                    </w:p>
                    <w:p w14:paraId="4F470A28" w14:textId="77777777" w:rsidR="00637977" w:rsidRDefault="00637977" w:rsidP="00637977">
                      <w:pPr>
                        <w:jc w:val="both"/>
                        <w:rPr>
                          <w:rFonts w:ascii="Century Gothic" w:hAnsi="Century Gothic" w:cs="Georgia"/>
                          <w:b/>
                          <w:color w:val="1F497D" w:themeColor="text2"/>
                          <w:sz w:val="16"/>
                          <w:szCs w:val="16"/>
                          <w:lang w:val="fr-FR"/>
                        </w:rPr>
                      </w:pPr>
                      <w:r w:rsidRPr="00A03F0B">
                        <w:rPr>
                          <w:rFonts w:ascii="Century Gothic" w:hAnsi="Century Gothic" w:cs="Georgia"/>
                          <w:b/>
                          <w:color w:val="1F497D" w:themeColor="text2"/>
                          <w:sz w:val="16"/>
                          <w:szCs w:val="16"/>
                          <w:lang w:val="fr-FR"/>
                        </w:rPr>
                        <w:t>Mots-clés</w:t>
                      </w:r>
                    </w:p>
                    <w:p w14:paraId="735D848F"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65B34E98" w14:textId="77777777" w:rsidR="001D750A" w:rsidRPr="00637977" w:rsidRDefault="00981280" w:rsidP="00637977">
                      <w:pPr>
                        <w:spacing w:line="276" w:lineRule="auto"/>
                        <w:jc w:val="both"/>
                        <w:rPr>
                          <w:rFonts w:ascii="Century Gothic" w:eastAsia="Comic Sans MS" w:hAnsi="Century Gothic" w:cs="Comic Sans MS"/>
                          <w:bCs/>
                          <w:color w:val="000000"/>
                          <w:sz w:val="16"/>
                          <w:szCs w:val="16"/>
                          <w:lang w:val="fr-FR"/>
                        </w:rPr>
                      </w:pPr>
                      <w:r w:rsidRPr="00981280">
                        <w:rPr>
                          <w:rFonts w:ascii="Century Gothic" w:eastAsia="Comic Sans MS" w:hAnsi="Century Gothic" w:cs="Comic Sans MS"/>
                          <w:bCs/>
                          <w:color w:val="000000"/>
                          <w:sz w:val="16"/>
                          <w:szCs w:val="16"/>
                          <w:lang w:val="fr-FR"/>
                        </w:rPr>
                        <w:t>Cancer ; Instabilité Génétique ; Recombinaison, Réplication et Réparation de l’ADN ; Modèles murins ; Signalisation cellulaire</w:t>
                      </w:r>
                      <w:r>
                        <w:rPr>
                          <w:rFonts w:ascii="Century Gothic" w:eastAsia="Comic Sans MS" w:hAnsi="Century Gothic" w:cs="Comic Sans MS"/>
                          <w:bCs/>
                          <w:color w:val="000000"/>
                          <w:sz w:val="16"/>
                          <w:szCs w:val="16"/>
                          <w:lang w:val="fr-FR"/>
                        </w:rPr>
                        <w:t xml:space="preserve"> </w:t>
                      </w:r>
                      <w:r w:rsidRPr="00981280">
                        <w:rPr>
                          <w:rFonts w:ascii="Century Gothic" w:eastAsia="Comic Sans MS" w:hAnsi="Century Gothic" w:cs="Comic Sans MS"/>
                          <w:bCs/>
                          <w:color w:val="000000"/>
                          <w:sz w:val="16"/>
                          <w:szCs w:val="16"/>
                          <w:lang w:val="fr-FR"/>
                        </w:rPr>
                        <w:t>; Développement ; Cellules souches, Epigénétique.</w:t>
                      </w:r>
                    </w:p>
                    <w:p w14:paraId="2ADB05BF" w14:textId="77777777" w:rsidR="001D750A" w:rsidRDefault="001D750A" w:rsidP="005D70EB">
                      <w:pPr>
                        <w:jc w:val="both"/>
                        <w:rPr>
                          <w:rFonts w:ascii="Century Gothic" w:hAnsi="Century Gothic"/>
                          <w:b/>
                          <w:color w:val="1F497D" w:themeColor="text2"/>
                          <w:sz w:val="16"/>
                          <w:szCs w:val="16"/>
                          <w:lang w:val="fr-FR"/>
                        </w:rPr>
                      </w:pPr>
                    </w:p>
                    <w:p w14:paraId="2F7832C6" w14:textId="77777777" w:rsidR="005D70EB" w:rsidRDefault="005D70EB" w:rsidP="005D70EB">
                      <w:pPr>
                        <w:jc w:val="both"/>
                        <w:rPr>
                          <w:rFonts w:ascii="Century Gothic" w:hAnsi="Century Gothic"/>
                          <w:b/>
                          <w:color w:val="1F497D" w:themeColor="text2"/>
                          <w:sz w:val="16"/>
                          <w:szCs w:val="16"/>
                          <w:lang w:val="fr-FR"/>
                        </w:rPr>
                      </w:pPr>
                      <w:r w:rsidRPr="001D750A">
                        <w:rPr>
                          <w:rFonts w:ascii="Century Gothic" w:hAnsi="Century Gothic"/>
                          <w:b/>
                          <w:color w:val="1F497D" w:themeColor="text2"/>
                          <w:sz w:val="16"/>
                          <w:szCs w:val="16"/>
                          <w:lang w:val="fr-FR"/>
                        </w:rPr>
                        <w:t>Organisation</w:t>
                      </w:r>
                    </w:p>
                    <w:p w14:paraId="3140AD39" w14:textId="77777777" w:rsidR="001D750A" w:rsidRPr="00A03F0B" w:rsidRDefault="001D750A" w:rsidP="00637977">
                      <w:pPr>
                        <w:spacing w:line="80" w:lineRule="exact"/>
                        <w:jc w:val="both"/>
                        <w:rPr>
                          <w:rFonts w:ascii="Century Gothic" w:hAnsi="Century Gothic" w:cs="Georgia"/>
                          <w:b/>
                          <w:color w:val="1F497D" w:themeColor="text2"/>
                          <w:sz w:val="16"/>
                          <w:szCs w:val="16"/>
                          <w:lang w:val="fr-FR"/>
                        </w:rPr>
                      </w:pPr>
                    </w:p>
                    <w:p w14:paraId="19422EA3"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Le parcours pédagogique de chaque étudiant inclut l’une des deux UE de spécialisation suivantes :</w:t>
                      </w:r>
                    </w:p>
                    <w:p w14:paraId="1B03EF45"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 Le cours "Gén</w:t>
                      </w:r>
                      <w:r w:rsidR="003A07CD">
                        <w:rPr>
                          <w:rFonts w:ascii="Century Gothic" w:eastAsia="Comic Sans MS" w:hAnsi="Century Gothic" w:cs="Comic Sans MS"/>
                          <w:bCs/>
                          <w:color w:val="000000"/>
                          <w:sz w:val="16"/>
                          <w:szCs w:val="16"/>
                          <w:lang w:val="fr-FR"/>
                        </w:rPr>
                        <w:t>étique et Epigénétique Moléculaires " (</w:t>
                      </w:r>
                      <w:r w:rsidR="00356936" w:rsidRPr="00356936">
                        <w:rPr>
                          <w:rFonts w:ascii="Century Gothic" w:eastAsia="Comic Sans MS" w:hAnsi="Century Gothic" w:cs="Comic Sans MS"/>
                          <w:bCs/>
                          <w:color w:val="000000"/>
                          <w:sz w:val="16"/>
                          <w:szCs w:val="16"/>
                          <w:lang w:val="fr-FR"/>
                        </w:rPr>
                        <w:t>MU5BM824</w:t>
                      </w:r>
                      <w:r w:rsidRPr="00C606A9">
                        <w:rPr>
                          <w:rFonts w:ascii="Century Gothic" w:eastAsia="Comic Sans MS" w:hAnsi="Century Gothic" w:cs="Comic Sans MS"/>
                          <w:bCs/>
                          <w:color w:val="000000"/>
                          <w:sz w:val="16"/>
                          <w:szCs w:val="16"/>
                          <w:lang w:val="fr-FR"/>
                        </w:rPr>
                        <w:t>, 12 ECTS) a pour objectif d’approfondir les aspects techniques et conceptuels de la recherche en génétique et en épigénétique, notamment dans le cadre de l’oncogenèse. Il vise à analyser les mécanismes régulant l’expression et la stabilité des génomes des cellules eucaryotes, ainsi que ceux qui contrôlent la progression dans le cycle cellulaire.</w:t>
                      </w:r>
                    </w:p>
                    <w:p w14:paraId="00FEEB8F" w14:textId="50505CAB"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 Le cou</w:t>
                      </w:r>
                      <w:r w:rsidR="003A07CD">
                        <w:rPr>
                          <w:rFonts w:ascii="Century Gothic" w:eastAsia="Comic Sans MS" w:hAnsi="Century Gothic" w:cs="Comic Sans MS"/>
                          <w:bCs/>
                          <w:color w:val="000000"/>
                          <w:sz w:val="16"/>
                          <w:szCs w:val="16"/>
                          <w:lang w:val="fr-FR"/>
                        </w:rPr>
                        <w:t xml:space="preserve">rs "Génétique de la </w:t>
                      </w:r>
                      <w:r w:rsidR="001E5932">
                        <w:rPr>
                          <w:rFonts w:ascii="Century Gothic" w:eastAsia="Comic Sans MS" w:hAnsi="Century Gothic" w:cs="Comic Sans MS"/>
                          <w:bCs/>
                          <w:color w:val="000000"/>
                          <w:sz w:val="16"/>
                          <w:szCs w:val="16"/>
                          <w:lang w:val="fr-FR"/>
                        </w:rPr>
                        <w:t>S</w:t>
                      </w:r>
                      <w:bookmarkStart w:id="1" w:name="_GoBack"/>
                      <w:bookmarkEnd w:id="1"/>
                      <w:r w:rsidR="003A07CD">
                        <w:rPr>
                          <w:rFonts w:ascii="Century Gothic" w:eastAsia="Comic Sans MS" w:hAnsi="Century Gothic" w:cs="Comic Sans MS"/>
                          <w:bCs/>
                          <w:color w:val="000000"/>
                          <w:sz w:val="16"/>
                          <w:szCs w:val="16"/>
                          <w:lang w:val="fr-FR"/>
                        </w:rPr>
                        <w:t>ouris" (</w:t>
                      </w:r>
                      <w:r w:rsidR="00356936" w:rsidRPr="00356936">
                        <w:rPr>
                          <w:rFonts w:ascii="Century Gothic" w:eastAsia="Comic Sans MS" w:hAnsi="Century Gothic" w:cs="Comic Sans MS"/>
                          <w:bCs/>
                          <w:color w:val="000000"/>
                          <w:sz w:val="16"/>
                          <w:szCs w:val="16"/>
                          <w:lang w:val="fr-FR"/>
                        </w:rPr>
                        <w:t>MU5BM813</w:t>
                      </w:r>
                      <w:r w:rsidRPr="00C606A9">
                        <w:rPr>
                          <w:rFonts w:ascii="Century Gothic" w:eastAsia="Comic Sans MS" w:hAnsi="Century Gothic" w:cs="Comic Sans MS"/>
                          <w:bCs/>
                          <w:color w:val="000000"/>
                          <w:sz w:val="16"/>
                          <w:szCs w:val="16"/>
                          <w:lang w:val="fr-FR"/>
                        </w:rPr>
                        <w:t xml:space="preserve">, 12 ECTS) s’adresse aux étudiants souhaitant acquérir une formation complète à l’utilisation de cet animal comme système modèle des pathologies humaines, notamment le cancer. Il s’adresse également aux étudiants intéressés par la biologie des cellules souches (cellules ES, IPS, …) ou la biologie du développement - à ce titre, il peut être suivi par les étudiants des </w:t>
                      </w:r>
                      <w:r w:rsidR="007A3050">
                        <w:rPr>
                          <w:rFonts w:ascii="Century Gothic" w:eastAsia="Comic Sans MS" w:hAnsi="Century Gothic" w:cs="Comic Sans MS"/>
                          <w:bCs/>
                          <w:color w:val="000000"/>
                          <w:sz w:val="16"/>
                          <w:szCs w:val="16"/>
                          <w:lang w:val="fr-FR"/>
                        </w:rPr>
                        <w:t xml:space="preserve">thématiques </w:t>
                      </w:r>
                      <w:r w:rsidRPr="00C606A9">
                        <w:rPr>
                          <w:rFonts w:ascii="Century Gothic" w:eastAsia="Comic Sans MS" w:hAnsi="Century Gothic" w:cs="Comic Sans MS"/>
                          <w:bCs/>
                          <w:color w:val="000000"/>
                          <w:sz w:val="16"/>
                          <w:szCs w:val="16"/>
                          <w:lang w:val="fr-FR"/>
                        </w:rPr>
                        <w:t xml:space="preserve">"Biologie des cellules souches" et "Biologie du développement" </w:t>
                      </w:r>
                      <w:r w:rsidR="007A3050">
                        <w:rPr>
                          <w:rFonts w:ascii="Century Gothic" w:eastAsia="Comic Sans MS" w:hAnsi="Century Gothic" w:cs="Comic Sans MS"/>
                          <w:bCs/>
                          <w:color w:val="000000"/>
                          <w:sz w:val="16"/>
                          <w:szCs w:val="16"/>
                          <w:lang w:val="fr-FR"/>
                        </w:rPr>
                        <w:t>du parcours</w:t>
                      </w:r>
                      <w:r w:rsidRPr="00C606A9">
                        <w:rPr>
                          <w:rFonts w:ascii="Century Gothic" w:eastAsia="Comic Sans MS" w:hAnsi="Century Gothic" w:cs="Comic Sans MS"/>
                          <w:bCs/>
                          <w:color w:val="000000"/>
                          <w:sz w:val="16"/>
                          <w:szCs w:val="16"/>
                          <w:lang w:val="fr-FR"/>
                        </w:rPr>
                        <w:t xml:space="preserve"> "Biologie cellulaire, Biologie du développement &amp; Biologie des cellules souches".</w:t>
                      </w:r>
                    </w:p>
                    <w:p w14:paraId="4E9F76FC" w14:textId="77777777" w:rsidR="00BB3428" w:rsidRDefault="00BB3428" w:rsidP="00637977">
                      <w:pPr>
                        <w:spacing w:line="276" w:lineRule="auto"/>
                        <w:jc w:val="both"/>
                        <w:rPr>
                          <w:rFonts w:ascii="Century Gothic" w:eastAsia="Comic Sans MS" w:hAnsi="Century Gothic" w:cs="Comic Sans MS"/>
                          <w:bCs/>
                          <w:color w:val="000000"/>
                          <w:sz w:val="16"/>
                          <w:szCs w:val="16"/>
                          <w:lang w:val="fr-FR"/>
                        </w:rPr>
                      </w:pPr>
                    </w:p>
                    <w:p w14:paraId="56A47791"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La formation comprend également une UE d’analyse scientifique (</w:t>
                      </w:r>
                      <w:r w:rsidR="00356936" w:rsidRPr="00356936">
                        <w:rPr>
                          <w:rFonts w:ascii="Century Gothic" w:eastAsia="Comic Sans MS" w:hAnsi="Century Gothic" w:cs="Comic Sans MS"/>
                          <w:bCs/>
                          <w:color w:val="000000"/>
                          <w:sz w:val="16"/>
                          <w:szCs w:val="16"/>
                          <w:lang w:val="fr-FR"/>
                        </w:rPr>
                        <w:t>MU5BM051</w:t>
                      </w:r>
                      <w:r w:rsidRPr="00C606A9">
                        <w:rPr>
                          <w:rFonts w:ascii="Century Gothic" w:eastAsia="Comic Sans MS" w:hAnsi="Century Gothic" w:cs="Comic Sans MS"/>
                          <w:bCs/>
                          <w:color w:val="000000"/>
                          <w:sz w:val="16"/>
                          <w:szCs w:val="16"/>
                          <w:lang w:val="fr-FR"/>
                        </w:rPr>
                        <w:t>, 6 ECTS), une UE de stage (</w:t>
                      </w:r>
                      <w:r w:rsidR="007458A5" w:rsidRPr="007458A5">
                        <w:rPr>
                          <w:rFonts w:ascii="Century Gothic" w:eastAsia="Comic Sans MS" w:hAnsi="Century Gothic" w:cs="Comic Sans MS"/>
                          <w:bCs/>
                          <w:color w:val="000000"/>
                          <w:sz w:val="16"/>
                          <w:szCs w:val="16"/>
                          <w:lang w:val="fr-FR"/>
                        </w:rPr>
                        <w:t>MU5BMSO6</w:t>
                      </w:r>
                      <w:r w:rsidRPr="00C606A9">
                        <w:rPr>
                          <w:rFonts w:ascii="Century Gothic" w:eastAsia="Comic Sans MS" w:hAnsi="Century Gothic" w:cs="Comic Sans MS"/>
                          <w:bCs/>
                          <w:color w:val="000000"/>
                          <w:sz w:val="16"/>
                          <w:szCs w:val="16"/>
                          <w:lang w:val="fr-FR"/>
                        </w:rPr>
                        <w:t>, 30 ECTS) et une ou deux UE d’ouverture (6 ECTS au total).</w:t>
                      </w:r>
                    </w:p>
                    <w:p w14:paraId="7E8BC8B1" w14:textId="77777777" w:rsidR="00C606A9" w:rsidRPr="001846C9" w:rsidRDefault="00D54DF4" w:rsidP="00D54DF4">
                      <w:pPr>
                        <w:spacing w:line="276" w:lineRule="auto"/>
                        <w:jc w:val="both"/>
                        <w:rPr>
                          <w:rFonts w:ascii="Century Gothic" w:eastAsia="Comic Sans MS" w:hAnsi="Century Gothic" w:cs="Comic Sans MS"/>
                          <w:bCs/>
                          <w:color w:val="000000"/>
                          <w:sz w:val="16"/>
                          <w:szCs w:val="16"/>
                          <w:lang w:val="fr-FR"/>
                        </w:rPr>
                      </w:pPr>
                      <w:r w:rsidRPr="000C754F">
                        <w:rPr>
                          <w:rFonts w:ascii="Century Gothic" w:eastAsia="Comic Sans MS" w:hAnsi="Century Gothic" w:cs="Comic Sans MS"/>
                          <w:bCs/>
                          <w:color w:val="000000"/>
                          <w:sz w:val="16"/>
                          <w:szCs w:val="16"/>
                          <w:lang w:val="fr-FR"/>
                        </w:rPr>
                        <w:t xml:space="preserve">L’enseignement d’ouverture consiste généralement en une UE de 6 ECTS parmi les trois conseillées dans le cadre de la thématique. Deux de ces UE sont organisées en partenariat avec l’Institut Curie et consacrées au </w:t>
                      </w:r>
                      <w:r w:rsidR="000C754F" w:rsidRPr="000C754F">
                        <w:rPr>
                          <w:rFonts w:ascii="Century Gothic" w:eastAsia="Comic Sans MS" w:hAnsi="Century Gothic" w:cs="Comic Sans MS"/>
                          <w:bCs/>
                          <w:color w:val="000000"/>
                          <w:sz w:val="16"/>
                          <w:szCs w:val="16"/>
                          <w:lang w:val="fr-FR"/>
                        </w:rPr>
                        <w:t>génome non-codant</w:t>
                      </w:r>
                      <w:r w:rsidRPr="000C754F">
                        <w:rPr>
                          <w:rFonts w:ascii="Century Gothic" w:eastAsia="Comic Sans MS" w:hAnsi="Century Gothic" w:cs="Comic Sans MS"/>
                          <w:bCs/>
                          <w:color w:val="000000"/>
                          <w:sz w:val="16"/>
                          <w:szCs w:val="16"/>
                          <w:lang w:val="fr-FR"/>
                        </w:rPr>
                        <w:t xml:space="preserve"> (</w:t>
                      </w:r>
                      <w:r w:rsidR="00356936" w:rsidRPr="00356936">
                        <w:rPr>
                          <w:rFonts w:ascii="Century Gothic" w:eastAsia="Comic Sans MS" w:hAnsi="Century Gothic" w:cs="Comic Sans MS"/>
                          <w:bCs/>
                          <w:color w:val="000000"/>
                          <w:sz w:val="16"/>
                          <w:szCs w:val="16"/>
                          <w:lang w:val="fr-FR"/>
                        </w:rPr>
                        <w:t>MU5BM429</w:t>
                      </w:r>
                      <w:r w:rsidRPr="000C754F">
                        <w:rPr>
                          <w:rFonts w:ascii="Century Gothic" w:eastAsia="Comic Sans MS" w:hAnsi="Century Gothic" w:cs="Comic Sans MS"/>
                          <w:bCs/>
                          <w:color w:val="000000"/>
                          <w:sz w:val="16"/>
                          <w:szCs w:val="16"/>
                          <w:lang w:val="fr-FR"/>
                        </w:rPr>
                        <w:t>, 6 ECTS) et à l’épigénétique (</w:t>
                      </w:r>
                      <w:r w:rsidR="00356936" w:rsidRPr="00356936">
                        <w:rPr>
                          <w:rFonts w:ascii="Century Gothic" w:eastAsia="Comic Sans MS" w:hAnsi="Century Gothic" w:cs="Comic Sans MS"/>
                          <w:bCs/>
                          <w:color w:val="000000"/>
                          <w:sz w:val="16"/>
                          <w:szCs w:val="16"/>
                          <w:lang w:val="fr-FR"/>
                        </w:rPr>
                        <w:t>MU5BM460</w:t>
                      </w:r>
                      <w:r w:rsidRPr="000C754F">
                        <w:rPr>
                          <w:rFonts w:ascii="Century Gothic" w:eastAsia="Comic Sans MS" w:hAnsi="Century Gothic" w:cs="Comic Sans MS"/>
                          <w:bCs/>
                          <w:color w:val="000000"/>
                          <w:sz w:val="16"/>
                          <w:szCs w:val="16"/>
                          <w:lang w:val="fr-FR"/>
                        </w:rPr>
                        <w:t>, 6 ECTS), tandis que la troisième est une UE généraliste de cancérologie moléculaire (</w:t>
                      </w:r>
                      <w:r w:rsidR="00396820" w:rsidRPr="00396820">
                        <w:rPr>
                          <w:rFonts w:ascii="Century Gothic" w:eastAsia="Comic Sans MS" w:hAnsi="Century Gothic" w:cs="Comic Sans MS"/>
                          <w:bCs/>
                          <w:color w:val="000000"/>
                          <w:sz w:val="16"/>
                          <w:szCs w:val="16"/>
                          <w:lang w:val="fr-FR"/>
                        </w:rPr>
                        <w:t>MU4BM114</w:t>
                      </w:r>
                      <w:r w:rsidRPr="000C754F">
                        <w:rPr>
                          <w:rFonts w:ascii="Century Gothic" w:eastAsia="Comic Sans MS" w:hAnsi="Century Gothic" w:cs="Comic Sans MS"/>
                          <w:bCs/>
                          <w:color w:val="000000"/>
                          <w:sz w:val="16"/>
                          <w:szCs w:val="16"/>
                          <w:lang w:val="fr-FR"/>
                        </w:rPr>
                        <w:t>, 6ECTS) recommandée pour certains étudiants.</w:t>
                      </w:r>
                      <w:r w:rsidR="00C606A9" w:rsidRPr="001846C9">
                        <w:rPr>
                          <w:rFonts w:ascii="Century Gothic" w:eastAsia="Comic Sans MS" w:hAnsi="Century Gothic" w:cs="Comic Sans MS"/>
                          <w:bCs/>
                          <w:color w:val="000000"/>
                          <w:sz w:val="16"/>
                          <w:szCs w:val="16"/>
                          <w:lang w:val="fr-FR"/>
                        </w:rPr>
                        <w:t xml:space="preserve"> </w:t>
                      </w:r>
                    </w:p>
                    <w:p w14:paraId="539F3865" w14:textId="77777777" w:rsidR="005D70EB" w:rsidRPr="001846C9" w:rsidRDefault="005D70EB" w:rsidP="005D70EB">
                      <w:pPr>
                        <w:jc w:val="both"/>
                        <w:rPr>
                          <w:rFonts w:ascii="Century Gothic" w:hAnsi="Century Gothic"/>
                          <w:color w:val="000000"/>
                          <w:sz w:val="16"/>
                          <w:szCs w:val="16"/>
                          <w:lang w:val="fr-FR"/>
                        </w:rPr>
                      </w:pPr>
                    </w:p>
                    <w:p w14:paraId="1E434B8B" w14:textId="77777777" w:rsidR="005D70EB" w:rsidRPr="001846C9" w:rsidRDefault="005D70EB" w:rsidP="005D70EB">
                      <w:pPr>
                        <w:jc w:val="both"/>
                        <w:rPr>
                          <w:rFonts w:ascii="Century Gothic" w:hAnsi="Century Gothic"/>
                          <w:b/>
                          <w:color w:val="1F497D" w:themeColor="text2"/>
                          <w:sz w:val="16"/>
                          <w:szCs w:val="16"/>
                          <w:lang w:val="fr-FR"/>
                        </w:rPr>
                      </w:pPr>
                      <w:r w:rsidRPr="001846C9">
                        <w:rPr>
                          <w:rFonts w:ascii="Century Gothic" w:hAnsi="Century Gothic"/>
                          <w:b/>
                          <w:color w:val="1F497D" w:themeColor="text2"/>
                          <w:sz w:val="16"/>
                          <w:szCs w:val="16"/>
                          <w:lang w:val="fr-FR"/>
                        </w:rPr>
                        <w:t>Contact</w:t>
                      </w:r>
                      <w:r w:rsidR="001D750A" w:rsidRPr="001846C9">
                        <w:rPr>
                          <w:rFonts w:ascii="Century Gothic" w:hAnsi="Century Gothic"/>
                          <w:b/>
                          <w:color w:val="1F497D" w:themeColor="text2"/>
                          <w:sz w:val="16"/>
                          <w:szCs w:val="16"/>
                          <w:lang w:val="fr-FR"/>
                        </w:rPr>
                        <w:t>s</w:t>
                      </w:r>
                    </w:p>
                    <w:p w14:paraId="16B5C69A" w14:textId="77777777" w:rsidR="001D750A" w:rsidRPr="001846C9" w:rsidRDefault="001D750A" w:rsidP="001D750A">
                      <w:pPr>
                        <w:ind w:right="35"/>
                        <w:jc w:val="both"/>
                        <w:rPr>
                          <w:rFonts w:ascii="Century Gothic" w:hAnsi="Century Gothic"/>
                          <w:b/>
                          <w:sz w:val="16"/>
                          <w:szCs w:val="16"/>
                          <w:lang w:val="fr-FR"/>
                        </w:rPr>
                      </w:pPr>
                      <w:r w:rsidRPr="001846C9">
                        <w:rPr>
                          <w:rFonts w:ascii="Century Gothic" w:hAnsi="Century Gothic"/>
                          <w:b/>
                          <w:color w:val="1F497D" w:themeColor="text2"/>
                          <w:sz w:val="16"/>
                          <w:szCs w:val="16"/>
                          <w:lang w:val="fr-FR"/>
                        </w:rPr>
                        <w:t>Responsable pédagogique</w:t>
                      </w:r>
                      <w:r w:rsidRPr="001846C9">
                        <w:rPr>
                          <w:rFonts w:ascii="Century Gothic" w:hAnsi="Century Gothic"/>
                          <w:b/>
                          <w:color w:val="1F497D" w:themeColor="text2"/>
                          <w:sz w:val="16"/>
                          <w:szCs w:val="16"/>
                          <w:lang w:val="fr-FR"/>
                        </w:rPr>
                        <w:tab/>
                      </w:r>
                      <w:r w:rsidRPr="001846C9">
                        <w:rPr>
                          <w:rFonts w:ascii="Century Gothic" w:hAnsi="Century Gothic"/>
                          <w:b/>
                          <w:color w:val="1F497D" w:themeColor="text2"/>
                          <w:sz w:val="16"/>
                          <w:szCs w:val="16"/>
                          <w:lang w:val="fr-FR"/>
                        </w:rPr>
                        <w:tab/>
                      </w:r>
                      <w:r w:rsidR="00BD0105" w:rsidRPr="001846C9">
                        <w:rPr>
                          <w:rFonts w:ascii="Century Gothic" w:hAnsi="Century Gothic"/>
                          <w:b/>
                          <w:color w:val="1F497D" w:themeColor="text2"/>
                          <w:sz w:val="16"/>
                          <w:szCs w:val="16"/>
                          <w:lang w:val="fr-FR"/>
                        </w:rPr>
                        <w:t>Secrétariat pédagogique</w:t>
                      </w:r>
                    </w:p>
                    <w:p w14:paraId="5690B0C6" w14:textId="77777777" w:rsidR="001D750A" w:rsidRPr="001846C9" w:rsidRDefault="00C606A9" w:rsidP="001D750A">
                      <w:pPr>
                        <w:ind w:right="35"/>
                        <w:jc w:val="both"/>
                        <w:rPr>
                          <w:rFonts w:ascii="Century Gothic" w:hAnsi="Century Gothic"/>
                          <w:sz w:val="16"/>
                          <w:szCs w:val="16"/>
                          <w:lang w:val="fr-FR"/>
                        </w:rPr>
                      </w:pPr>
                      <w:r w:rsidRPr="001846C9">
                        <w:rPr>
                          <w:rFonts w:ascii="Century Gothic" w:eastAsia="Comic Sans MS" w:hAnsi="Century Gothic" w:cs="Comic Sans MS"/>
                          <w:bCs/>
                          <w:color w:val="000000"/>
                          <w:sz w:val="16"/>
                          <w:szCs w:val="16"/>
                          <w:lang w:val="fr-FR"/>
                        </w:rPr>
                        <w:t>Pr Franck Toledo</w:t>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rsidR="001D750A" w:rsidRPr="001846C9">
                        <w:rPr>
                          <w:rFonts w:ascii="Century Gothic" w:hAnsi="Century Gothic"/>
                          <w:bCs/>
                          <w:sz w:val="16"/>
                          <w:szCs w:val="16"/>
                          <w:lang w:val="fr-FR"/>
                        </w:rPr>
                        <w:t>Carine Joseph</w:t>
                      </w:r>
                    </w:p>
                    <w:p w14:paraId="6E02B6FD" w14:textId="35264D5B" w:rsidR="00A6224F" w:rsidRPr="00356936" w:rsidRDefault="001E5932" w:rsidP="00142ED1">
                      <w:pPr>
                        <w:ind w:right="35"/>
                        <w:jc w:val="both"/>
                        <w:rPr>
                          <w:rFonts w:ascii="Century Gothic" w:hAnsi="Century Gothic"/>
                          <w:sz w:val="16"/>
                          <w:szCs w:val="16"/>
                          <w:lang w:val="fr-FR"/>
                        </w:rPr>
                      </w:pPr>
                      <w:r>
                        <w:fldChar w:fldCharType="begin"/>
                      </w:r>
                      <w:r w:rsidRPr="001E5932">
                        <w:rPr>
                          <w:lang w:val="fr-FR"/>
                        </w:rPr>
                        <w:instrText xml:space="preserve"> HYPERLINK "mailto:franck.toledo@curie.fr" </w:instrText>
                      </w:r>
                      <w:r>
                        <w:fldChar w:fldCharType="separate"/>
                      </w:r>
                      <w:r w:rsidR="00C606A9" w:rsidRPr="008068E1">
                        <w:rPr>
                          <w:rStyle w:val="Lienhypertexte"/>
                          <w:rFonts w:ascii="Century Gothic" w:hAnsi="Century Gothic"/>
                          <w:bCs/>
                          <w:sz w:val="16"/>
                          <w:szCs w:val="16"/>
                          <w:lang w:val="fr-FR"/>
                        </w:rPr>
                        <w:t>franck.toledo@curie.fr</w:t>
                      </w:r>
                      <w:r>
                        <w:rPr>
                          <w:rStyle w:val="Lienhypertexte"/>
                          <w:rFonts w:ascii="Century Gothic" w:hAnsi="Century Gothic"/>
                          <w:bCs/>
                          <w:sz w:val="16"/>
                          <w:szCs w:val="16"/>
                          <w:lang w:val="fr-FR"/>
                        </w:rPr>
                        <w:fldChar w:fldCharType="end"/>
                      </w:r>
                      <w:r w:rsidR="001D750A" w:rsidRPr="001846C9">
                        <w:rPr>
                          <w:rFonts w:ascii="Century Gothic" w:hAnsi="Century Gothic"/>
                          <w:sz w:val="16"/>
                          <w:szCs w:val="16"/>
                          <w:lang w:val="fr-FR"/>
                        </w:rPr>
                        <w:tab/>
                      </w:r>
                      <w:r w:rsidR="001D750A" w:rsidRPr="001846C9">
                        <w:rPr>
                          <w:rFonts w:ascii="Century Gothic" w:hAnsi="Century Gothic"/>
                          <w:sz w:val="16"/>
                          <w:szCs w:val="16"/>
                          <w:lang w:val="fr-FR"/>
                        </w:rPr>
                        <w:tab/>
                      </w:r>
                      <w:r>
                        <w:fldChar w:fldCharType="begin"/>
                      </w:r>
                      <w:r w:rsidRPr="001E5932">
                        <w:rPr>
                          <w:lang w:val="fr-FR"/>
                        </w:rPr>
                        <w:instrText xml:space="preserve"> HYPERLINK "mailto:carine.joseph@sorbonne-universite.fr" </w:instrText>
                      </w:r>
                      <w:r>
                        <w:fldChar w:fldCharType="separate"/>
                      </w:r>
                      <w:r w:rsidR="00142ED1" w:rsidRPr="00D20EA0">
                        <w:rPr>
                          <w:rStyle w:val="Lienhypertexte"/>
                          <w:rFonts w:ascii="Century Gothic" w:hAnsi="Century Gothic"/>
                          <w:sz w:val="16"/>
                          <w:szCs w:val="16"/>
                          <w:lang w:val="fr-FR"/>
                        </w:rPr>
                        <w:t>carine.joseph@sorbonne-universite.fr</w:t>
                      </w:r>
                      <w:r>
                        <w:rPr>
                          <w:rStyle w:val="Lienhypertexte"/>
                          <w:rFonts w:ascii="Century Gothic" w:hAnsi="Century Gothic"/>
                          <w:sz w:val="16"/>
                          <w:szCs w:val="16"/>
                          <w:lang w:val="fr-FR"/>
                        </w:rPr>
                        <w:fldChar w:fldCharType="end"/>
                      </w:r>
                    </w:p>
                    <w:p w14:paraId="793305C9" w14:textId="77777777" w:rsidR="001D750A" w:rsidRPr="001D750A" w:rsidRDefault="001D750A" w:rsidP="00A6224F">
                      <w:pPr>
                        <w:ind w:right="35"/>
                        <w:jc w:val="both"/>
                        <w:rPr>
                          <w:rFonts w:ascii="Century Gothic" w:hAnsi="Century Gothic"/>
                          <w:color w:val="1F497D" w:themeColor="text2"/>
                          <w:sz w:val="16"/>
                          <w:szCs w:val="16"/>
                          <w:lang w:val="fr-FR"/>
                        </w:rPr>
                      </w:pPr>
                    </w:p>
                    <w:p w14:paraId="3571F638" w14:textId="77777777" w:rsidR="00D91C46" w:rsidRPr="001D750A" w:rsidRDefault="00D91C46" w:rsidP="004C2504">
                      <w:pPr>
                        <w:ind w:right="35"/>
                        <w:rPr>
                          <w:rFonts w:ascii="Century Gothic" w:hAnsi="Century Gothic"/>
                          <w:color w:val="008000"/>
                          <w:sz w:val="16"/>
                          <w:szCs w:val="16"/>
                          <w:lang w:val="fr-FR"/>
                        </w:rPr>
                      </w:pPr>
                    </w:p>
                  </w:txbxContent>
                </v:textbox>
                <w10:wrap type="through" anchory="page"/>
              </v:shape>
            </w:pict>
          </mc:Fallback>
        </mc:AlternateContent>
      </w:r>
      <w:r w:rsidR="001A16EB">
        <w:rPr>
          <w:noProof/>
          <w:lang w:eastAsia="en-US"/>
        </w:rPr>
        <mc:AlternateContent>
          <mc:Choice Requires="wps">
            <w:drawing>
              <wp:anchor distT="0" distB="0" distL="114300" distR="114300" simplePos="0" relativeHeight="251649536" behindDoc="0" locked="0" layoutInCell="1" allowOverlap="1" wp14:anchorId="468050B7" wp14:editId="7CF63F38">
                <wp:simplePos x="0" y="0"/>
                <wp:positionH relativeFrom="column">
                  <wp:posOffset>2540</wp:posOffset>
                </wp:positionH>
                <wp:positionV relativeFrom="page">
                  <wp:posOffset>2527935</wp:posOffset>
                </wp:positionV>
                <wp:extent cx="4319905" cy="3800475"/>
                <wp:effectExtent l="0" t="0" r="0" b="0"/>
                <wp:wrapThrough wrapText="bothSides">
                  <wp:wrapPolygon edited="0">
                    <wp:start x="318" y="72"/>
                    <wp:lineTo x="318" y="21438"/>
                    <wp:lineTo x="21209" y="21438"/>
                    <wp:lineTo x="21209" y="72"/>
                    <wp:lineTo x="318" y="72"/>
                  </wp:wrapPolygon>
                </wp:wrapThrough>
                <wp:docPr id="1" name="Zone de texte 1"/>
                <wp:cNvGraphicFramePr/>
                <a:graphic xmlns:a="http://schemas.openxmlformats.org/drawingml/2006/main">
                  <a:graphicData uri="http://schemas.microsoft.com/office/word/2010/wordprocessingShape">
                    <wps:wsp>
                      <wps:cNvSpPr txBox="1"/>
                      <wps:spPr>
                        <a:xfrm>
                          <a:off x="0" y="0"/>
                          <a:ext cx="4319905" cy="3800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C5C1150" w14:textId="77777777" w:rsidR="00475B85" w:rsidRDefault="00475B85" w:rsidP="00475B85">
                            <w:pPr>
                              <w:jc w:val="both"/>
                              <w:rPr>
                                <w:rFonts w:ascii="Century Gothic" w:hAnsi="Century Gothic"/>
                                <w:b/>
                                <w:color w:val="1F497D" w:themeColor="text2"/>
                                <w:sz w:val="16"/>
                                <w:szCs w:val="16"/>
                                <w:lang w:val="fr-FR"/>
                              </w:rPr>
                            </w:pPr>
                            <w:r w:rsidRPr="00A03F0B">
                              <w:rPr>
                                <w:rFonts w:ascii="Century Gothic" w:hAnsi="Century Gothic"/>
                                <w:b/>
                                <w:color w:val="1F497D" w:themeColor="text2"/>
                                <w:sz w:val="16"/>
                                <w:szCs w:val="16"/>
                                <w:lang w:val="fr-FR"/>
                              </w:rPr>
                              <w:t>Objectifs et Contenus</w:t>
                            </w:r>
                          </w:p>
                          <w:p w14:paraId="53110506"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4EFAA4A6" w14:textId="77777777" w:rsidR="00C606A9" w:rsidRDefault="00C606A9" w:rsidP="00637977">
                            <w:pPr>
                              <w:spacing w:line="276" w:lineRule="auto"/>
                              <w:jc w:val="both"/>
                              <w:rPr>
                                <w:rFonts w:ascii="Century Gothic" w:hAnsi="Century Gothic"/>
                                <w:sz w:val="16"/>
                                <w:szCs w:val="16"/>
                                <w:lang w:val="fr-FR"/>
                              </w:rPr>
                            </w:pPr>
                            <w:r w:rsidRPr="00C606A9">
                              <w:rPr>
                                <w:rFonts w:ascii="Century Gothic" w:hAnsi="Century Gothic"/>
                                <w:sz w:val="16"/>
                                <w:szCs w:val="16"/>
                                <w:lang w:val="fr-FR"/>
                              </w:rPr>
                              <w:t>La thématique "Bases moléculaires de l’oncogenèse, commun</w:t>
                            </w:r>
                            <w:r w:rsidR="004D7773">
                              <w:rPr>
                                <w:rFonts w:ascii="Century Gothic" w:hAnsi="Century Gothic"/>
                                <w:sz w:val="16"/>
                                <w:szCs w:val="16"/>
                                <w:lang w:val="fr-FR"/>
                              </w:rPr>
                              <w:t>e</w:t>
                            </w:r>
                            <w:r w:rsidRPr="00C606A9">
                              <w:rPr>
                                <w:rFonts w:ascii="Century Gothic" w:hAnsi="Century Gothic"/>
                                <w:sz w:val="16"/>
                                <w:szCs w:val="16"/>
                                <w:lang w:val="fr-FR"/>
                              </w:rPr>
                              <w:t xml:space="preserve"> aux parcours "Biologie cellulaire, Biologie du développement &amp; Biologie des cellules souches" et "Génétique", permet aux étudiants d’acquérir les notions essentielles pour comprendre les processus biologiques assurant notamment le contrôle du cycle cellulaire et le maintien de l’intégrité du génome, et comment ces processus sont altérés lors de l’initiation ou la progression tumorale. Selon l’UE de spécialisation choisie, ces aspects sont étudiés à l’échelle de la cellule ou de l’organisme entier. En alliant séminaires et travaux pratiques, les UE de spécialisation, délivrées en partenariat avec l’Institut Pasteur et l’Institut Curie, intègrent les notions et les techniques les plus récentes de la biologie</w:t>
                            </w:r>
                            <w:r w:rsidR="001A16EB">
                              <w:rPr>
                                <w:rFonts w:ascii="Century Gothic" w:hAnsi="Century Gothic"/>
                                <w:sz w:val="16"/>
                                <w:szCs w:val="16"/>
                                <w:lang w:val="fr-FR"/>
                              </w:rPr>
                              <w:t xml:space="preserve"> moléculaire</w:t>
                            </w:r>
                            <w:r w:rsidRPr="00C606A9">
                              <w:rPr>
                                <w:rFonts w:ascii="Century Gothic" w:hAnsi="Century Gothic"/>
                                <w:sz w:val="16"/>
                                <w:szCs w:val="16"/>
                                <w:lang w:val="fr-FR"/>
                              </w:rPr>
                              <w:t>, telles que le peignage moléculaire pour comprendre les mécanismes d’instabilité génétique, l’</w:t>
                            </w:r>
                            <w:proofErr w:type="spellStart"/>
                            <w:r w:rsidRPr="00C606A9">
                              <w:rPr>
                                <w:rFonts w:ascii="Century Gothic" w:hAnsi="Century Gothic"/>
                                <w:sz w:val="16"/>
                                <w:szCs w:val="16"/>
                                <w:lang w:val="fr-FR"/>
                              </w:rPr>
                              <w:t>immunoprécipitation</w:t>
                            </w:r>
                            <w:proofErr w:type="spellEnd"/>
                            <w:r w:rsidRPr="00C606A9">
                              <w:rPr>
                                <w:rFonts w:ascii="Century Gothic" w:hAnsi="Century Gothic"/>
                                <w:sz w:val="16"/>
                                <w:szCs w:val="16"/>
                                <w:lang w:val="fr-FR"/>
                              </w:rPr>
                              <w:t xml:space="preserve"> de la chromatine pour analyser les relations fonctionnelles entre lésions de l’ADN et remodelage de la chromatine, le ciblage de mutations conditionnelles dans le génome de souris pour contrôler l’activation d’oncogènes ou l’inactivation de suppresseurs de tumeur, ou encore la reprogrammation de fibroblastes en cellules souches, dont les propriétés sont voisines de celles des cellules cancéreuses.</w:t>
                            </w:r>
                          </w:p>
                          <w:p w14:paraId="008B5C9C" w14:textId="77777777" w:rsidR="00C606A9" w:rsidRPr="00C606A9" w:rsidRDefault="00C606A9" w:rsidP="00C606A9">
                            <w:pPr>
                              <w:jc w:val="both"/>
                              <w:rPr>
                                <w:rFonts w:ascii="Century Gothic" w:hAnsi="Century Gothic"/>
                                <w:sz w:val="16"/>
                                <w:szCs w:val="16"/>
                                <w:lang w:val="fr-FR"/>
                              </w:rPr>
                            </w:pPr>
                          </w:p>
                          <w:p w14:paraId="7D6C7A26" w14:textId="77777777" w:rsidR="00475B85" w:rsidRDefault="00475B85" w:rsidP="00475B85">
                            <w:pPr>
                              <w:jc w:val="both"/>
                              <w:rPr>
                                <w:rFonts w:ascii="Century Gothic" w:hAnsi="Century Gothic"/>
                                <w:b/>
                                <w:color w:val="1F497D" w:themeColor="text2"/>
                                <w:sz w:val="16"/>
                                <w:szCs w:val="16"/>
                                <w:lang w:val="fr-FR"/>
                              </w:rPr>
                            </w:pPr>
                            <w:r w:rsidRPr="00A03F0B">
                              <w:rPr>
                                <w:rFonts w:ascii="Century Gothic" w:hAnsi="Century Gothic"/>
                                <w:b/>
                                <w:color w:val="1F497D" w:themeColor="text2"/>
                                <w:sz w:val="16"/>
                                <w:szCs w:val="16"/>
                                <w:lang w:val="fr-FR"/>
                              </w:rPr>
                              <w:t xml:space="preserve">Publics et </w:t>
                            </w:r>
                            <w:proofErr w:type="spellStart"/>
                            <w:r w:rsidRPr="00A03F0B">
                              <w:rPr>
                                <w:rFonts w:ascii="Century Gothic" w:hAnsi="Century Gothic"/>
                                <w:b/>
                                <w:color w:val="1F497D" w:themeColor="text2"/>
                                <w:sz w:val="16"/>
                                <w:szCs w:val="16"/>
                                <w:lang w:val="fr-FR"/>
                              </w:rPr>
                              <w:t>pré-requis</w:t>
                            </w:r>
                            <w:proofErr w:type="spellEnd"/>
                          </w:p>
                          <w:p w14:paraId="45970DD3"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4EFA2CFF"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Cet enseignement s’adresse à une promotion composée de 12 à 20 étudiants, titulaires d’une première année de master de biologie, chimie ou physique ou d’un diplôme équivalent, mais également médecins, pharmaciens, vétérinaires ou ingénieurs souhaitant approfondir leurs connaissances en génétique, biologie cellulaire et biologie moléculaire appliquées à la cancérologie.</w:t>
                            </w:r>
                          </w:p>
                          <w:p w14:paraId="6E9D0834" w14:textId="77777777" w:rsidR="00475B85" w:rsidRPr="00A03F0B" w:rsidRDefault="00475B85" w:rsidP="00475B85">
                            <w:pPr>
                              <w:jc w:val="both"/>
                              <w:rPr>
                                <w:rFonts w:ascii="Century Gothic" w:hAnsi="Century Gothic"/>
                                <w:color w:val="1F497D" w:themeColor="text2"/>
                                <w:sz w:val="16"/>
                                <w:szCs w:val="16"/>
                                <w:lang w:val="fr-FR"/>
                              </w:rPr>
                            </w:pPr>
                          </w:p>
                          <w:p w14:paraId="19509D5E" w14:textId="77777777" w:rsidR="00475B85" w:rsidRPr="00A03F0B" w:rsidRDefault="00475B85" w:rsidP="004C2504">
                            <w:pPr>
                              <w:ind w:right="-18"/>
                              <w:jc w:val="center"/>
                              <w:rPr>
                                <w:rFonts w:ascii="Century Gothic" w:hAnsi="Century Gothic"/>
                                <w:sz w:val="16"/>
                                <w:szCs w:val="16"/>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8050B7" id="Zone de texte 1" o:spid="_x0000_s1027" type="#_x0000_t202" style="position:absolute;margin-left:.2pt;margin-top:199.05pt;width:340.15pt;height:29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LsMwIAAGMEAAAOAAAAZHJzL2Uyb0RvYy54bWysVF1v2jAUfZ+0/2D5fSTQsJaIULFWTJNQ&#10;W4lWlfZmHJtEin0925CwX79rJ1DW7Wnai7lfub7nnmPmt51qyEFYV4Mu6HiUUiI0h7LWu4K+PK8+&#10;3VDiPNMla0CLgh6Fo7eLjx/mrcnFBCpoSmEJNtEub01BK+9NniSOV0IxNwIjNCYlWMU8unaXlJa1&#10;2F01ySRNPyct2NJY4MI5jN73SbqI/aUU3D9K6YQnTUFxNh9PG89tOJPFnOU7y0xV82EM9g9TKFZr&#10;vPTc6p55Rva2/qOVqrkFB9KPOKgEpKy5iBgQzTh9h2ZTMSMiFlyOM+c1uf/Xlj8cniypS+SOEs0U&#10;UvQdiSKlIF50XpBxWFFrXI6VG4O1vvsCXSgf4g6DAXknrQq/iIlgHpd9PC8YOxGOwexqPJulU0o4&#10;5q5u0jS7noY+ydvnxjr/VYAiwSioRQbjYtlh7XxfeioJt2lY1U2DcZY3+rcA9uwjIspg+Dog6ScO&#10;lu+23QB+QLOF8oggLfRKcYavahxkzZx/YhalgbhQ7v4RD9lAW1AYLEoqsD//Fg/1yBhmKWlRagV1&#10;P/bMCkqabxq5nI2zLGgzOtn0eoKOvcxsLzN6r+4A1Yx84XTRDPW+OZnSgnrFV7EMt2KKaY53F9Sf&#10;zDvfPwB8VVwsl7EI1WiYX+uN4aF12GRY83P3yqwZuAiCeICTKFn+jpK+tudgufcg68hX2HO/VeQ5&#10;OKjkyPjw6sJTufRj1dt/w+IXAAAA//8DAFBLAwQUAAYACAAAACEArWmLq+AAAAANAQAADwAAAGRy&#10;cy9kb3ducmV2LnhtbExPy07DMBC8I/EP1iJxo3ahhCTNpkJUXEGUh8TNTbZJRLyOYrcJf89ygstK&#10;o3nsTLGZXa9ONIbOM8JyYUARV77uuEF4e328SkGFaLm2vWdC+KYAm/L8rLB57Sd+odMuNkpCOOQW&#10;oY1xyLUOVUvOhoUfiIU7+NHZKHBsdD3aScJdr6+NSbSzHcuH1g700FL1tTs6hPenw+fHyjw3W3c7&#10;TH42ml2mES8v5u1azv0aVKQ5/jngd4P0h1KK7f2R66B6hJXoEG6ydAlK6CQ1d6D2CFmWJKDLQv9f&#10;Uf4AAAD//wMAUEsBAi0AFAAGAAgAAAAhALaDOJL+AAAA4QEAABMAAAAAAAAAAAAAAAAAAAAAAFtD&#10;b250ZW50X1R5cGVzXS54bWxQSwECLQAUAAYACAAAACEAOP0h/9YAAACUAQAACwAAAAAAAAAAAAAA&#10;AAAvAQAAX3JlbHMvLnJlbHNQSwECLQAUAAYACAAAACEA928i7DMCAABjBAAADgAAAAAAAAAAAAAA&#10;AAAuAgAAZHJzL2Uyb0RvYy54bWxQSwECLQAUAAYACAAAACEArWmLq+AAAAANAQAADwAAAAAAAAAA&#10;AAAAAACNBAAAZHJzL2Rvd25yZXYueG1sUEsFBgAAAAAEAAQA8wAAAJoFAAAAAA==&#10;" filled="f" stroked="f">
                <v:textbox>
                  <w:txbxContent>
                    <w:p w14:paraId="5C5C1150" w14:textId="77777777" w:rsidR="00475B85" w:rsidRDefault="00475B85" w:rsidP="00475B85">
                      <w:pPr>
                        <w:jc w:val="both"/>
                        <w:rPr>
                          <w:rFonts w:ascii="Century Gothic" w:hAnsi="Century Gothic"/>
                          <w:b/>
                          <w:color w:val="1F497D" w:themeColor="text2"/>
                          <w:sz w:val="16"/>
                          <w:szCs w:val="16"/>
                          <w:lang w:val="fr-FR"/>
                        </w:rPr>
                      </w:pPr>
                      <w:r w:rsidRPr="00A03F0B">
                        <w:rPr>
                          <w:rFonts w:ascii="Century Gothic" w:hAnsi="Century Gothic"/>
                          <w:b/>
                          <w:color w:val="1F497D" w:themeColor="text2"/>
                          <w:sz w:val="16"/>
                          <w:szCs w:val="16"/>
                          <w:lang w:val="fr-FR"/>
                        </w:rPr>
                        <w:t>Objectifs et Contenus</w:t>
                      </w:r>
                    </w:p>
                    <w:p w14:paraId="53110506"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4EFAA4A6" w14:textId="77777777" w:rsidR="00C606A9" w:rsidRDefault="00C606A9" w:rsidP="00637977">
                      <w:pPr>
                        <w:spacing w:line="276" w:lineRule="auto"/>
                        <w:jc w:val="both"/>
                        <w:rPr>
                          <w:rFonts w:ascii="Century Gothic" w:hAnsi="Century Gothic"/>
                          <w:sz w:val="16"/>
                          <w:szCs w:val="16"/>
                          <w:lang w:val="fr-FR"/>
                        </w:rPr>
                      </w:pPr>
                      <w:r w:rsidRPr="00C606A9">
                        <w:rPr>
                          <w:rFonts w:ascii="Century Gothic" w:hAnsi="Century Gothic"/>
                          <w:sz w:val="16"/>
                          <w:szCs w:val="16"/>
                          <w:lang w:val="fr-FR"/>
                        </w:rPr>
                        <w:t>La thématique "Bases moléculaires de l’oncogenèse, commun</w:t>
                      </w:r>
                      <w:r w:rsidR="004D7773">
                        <w:rPr>
                          <w:rFonts w:ascii="Century Gothic" w:hAnsi="Century Gothic"/>
                          <w:sz w:val="16"/>
                          <w:szCs w:val="16"/>
                          <w:lang w:val="fr-FR"/>
                        </w:rPr>
                        <w:t>e</w:t>
                      </w:r>
                      <w:r w:rsidRPr="00C606A9">
                        <w:rPr>
                          <w:rFonts w:ascii="Century Gothic" w:hAnsi="Century Gothic"/>
                          <w:sz w:val="16"/>
                          <w:szCs w:val="16"/>
                          <w:lang w:val="fr-FR"/>
                        </w:rPr>
                        <w:t xml:space="preserve"> aux parcours "Biologie cellulaire, Biologie du développement &amp; Biologie des cellules souches" et "Génétique", permet aux étudiants d’acquérir les notions essentielles pour comprendre les processus biologiques assurant notamment le contrôle du cycle cellulaire et le maintien de l’intégrité du génome, et comment ces processus sont altérés lors de l’initiation ou la progression tumorale. Selon l’UE de spécialisation choisie, ces aspects sont étudiés à l’échelle de la cellule ou de l’organisme entier. En alliant séminaires et travaux pratiques, les UE de spécialisation, délivrées en partenariat avec l’Institut Pasteur et l’Institut Curie, intègrent les notions et les techniques les plus récentes de la biologie</w:t>
                      </w:r>
                      <w:r w:rsidR="001A16EB">
                        <w:rPr>
                          <w:rFonts w:ascii="Century Gothic" w:hAnsi="Century Gothic"/>
                          <w:sz w:val="16"/>
                          <w:szCs w:val="16"/>
                          <w:lang w:val="fr-FR"/>
                        </w:rPr>
                        <w:t xml:space="preserve"> moléculaire</w:t>
                      </w:r>
                      <w:r w:rsidRPr="00C606A9">
                        <w:rPr>
                          <w:rFonts w:ascii="Century Gothic" w:hAnsi="Century Gothic"/>
                          <w:sz w:val="16"/>
                          <w:szCs w:val="16"/>
                          <w:lang w:val="fr-FR"/>
                        </w:rPr>
                        <w:t>, telles que le peignage moléculaire pour comprendre les mécanismes d’instabilité génétique, l’</w:t>
                      </w:r>
                      <w:proofErr w:type="spellStart"/>
                      <w:r w:rsidRPr="00C606A9">
                        <w:rPr>
                          <w:rFonts w:ascii="Century Gothic" w:hAnsi="Century Gothic"/>
                          <w:sz w:val="16"/>
                          <w:szCs w:val="16"/>
                          <w:lang w:val="fr-FR"/>
                        </w:rPr>
                        <w:t>immunoprécipitation</w:t>
                      </w:r>
                      <w:proofErr w:type="spellEnd"/>
                      <w:r w:rsidRPr="00C606A9">
                        <w:rPr>
                          <w:rFonts w:ascii="Century Gothic" w:hAnsi="Century Gothic"/>
                          <w:sz w:val="16"/>
                          <w:szCs w:val="16"/>
                          <w:lang w:val="fr-FR"/>
                        </w:rPr>
                        <w:t xml:space="preserve"> de la chromatine pour analyser les relations fonctionnelles entre lésions de l’ADN et remodelage de la chromatine, le ciblage de mutations conditionnelles dans le génome de souris pour contrôler l’activation d’oncogènes ou l’inactivation de suppresseurs de tumeur, ou encore la reprogrammation de fibroblastes en cellules souches, dont les propriétés sont voisines de celles des cellules cancéreuses.</w:t>
                      </w:r>
                    </w:p>
                    <w:p w14:paraId="008B5C9C" w14:textId="77777777" w:rsidR="00C606A9" w:rsidRPr="00C606A9" w:rsidRDefault="00C606A9" w:rsidP="00C606A9">
                      <w:pPr>
                        <w:jc w:val="both"/>
                        <w:rPr>
                          <w:rFonts w:ascii="Century Gothic" w:hAnsi="Century Gothic"/>
                          <w:sz w:val="16"/>
                          <w:szCs w:val="16"/>
                          <w:lang w:val="fr-FR"/>
                        </w:rPr>
                      </w:pPr>
                    </w:p>
                    <w:p w14:paraId="7D6C7A26" w14:textId="77777777" w:rsidR="00475B85" w:rsidRDefault="00475B85" w:rsidP="00475B85">
                      <w:pPr>
                        <w:jc w:val="both"/>
                        <w:rPr>
                          <w:rFonts w:ascii="Century Gothic" w:hAnsi="Century Gothic"/>
                          <w:b/>
                          <w:color w:val="1F497D" w:themeColor="text2"/>
                          <w:sz w:val="16"/>
                          <w:szCs w:val="16"/>
                          <w:lang w:val="fr-FR"/>
                        </w:rPr>
                      </w:pPr>
                      <w:r w:rsidRPr="00A03F0B">
                        <w:rPr>
                          <w:rFonts w:ascii="Century Gothic" w:hAnsi="Century Gothic"/>
                          <w:b/>
                          <w:color w:val="1F497D" w:themeColor="text2"/>
                          <w:sz w:val="16"/>
                          <w:szCs w:val="16"/>
                          <w:lang w:val="fr-FR"/>
                        </w:rPr>
                        <w:t xml:space="preserve">Publics et </w:t>
                      </w:r>
                      <w:proofErr w:type="spellStart"/>
                      <w:r w:rsidRPr="00A03F0B">
                        <w:rPr>
                          <w:rFonts w:ascii="Century Gothic" w:hAnsi="Century Gothic"/>
                          <w:b/>
                          <w:color w:val="1F497D" w:themeColor="text2"/>
                          <w:sz w:val="16"/>
                          <w:szCs w:val="16"/>
                          <w:lang w:val="fr-FR"/>
                        </w:rPr>
                        <w:t>pré-requis</w:t>
                      </w:r>
                      <w:proofErr w:type="spellEnd"/>
                    </w:p>
                    <w:p w14:paraId="45970DD3" w14:textId="77777777" w:rsidR="00637977" w:rsidRPr="00A03F0B" w:rsidRDefault="00637977" w:rsidP="00637977">
                      <w:pPr>
                        <w:spacing w:line="80" w:lineRule="exact"/>
                        <w:jc w:val="both"/>
                        <w:rPr>
                          <w:rFonts w:ascii="Century Gothic" w:hAnsi="Century Gothic" w:cs="Georgia"/>
                          <w:b/>
                          <w:color w:val="1F497D" w:themeColor="text2"/>
                          <w:sz w:val="16"/>
                          <w:szCs w:val="16"/>
                          <w:lang w:val="fr-FR"/>
                        </w:rPr>
                      </w:pPr>
                    </w:p>
                    <w:p w14:paraId="4EFA2CFF" w14:textId="77777777" w:rsidR="00C606A9" w:rsidRPr="00C606A9" w:rsidRDefault="00C606A9" w:rsidP="00637977">
                      <w:pPr>
                        <w:spacing w:line="276" w:lineRule="auto"/>
                        <w:jc w:val="both"/>
                        <w:rPr>
                          <w:rFonts w:ascii="Century Gothic" w:eastAsia="Comic Sans MS" w:hAnsi="Century Gothic" w:cs="Comic Sans MS"/>
                          <w:bCs/>
                          <w:color w:val="000000"/>
                          <w:sz w:val="16"/>
                          <w:szCs w:val="16"/>
                          <w:lang w:val="fr-FR"/>
                        </w:rPr>
                      </w:pPr>
                      <w:r w:rsidRPr="00C606A9">
                        <w:rPr>
                          <w:rFonts w:ascii="Century Gothic" w:eastAsia="Comic Sans MS" w:hAnsi="Century Gothic" w:cs="Comic Sans MS"/>
                          <w:bCs/>
                          <w:color w:val="000000"/>
                          <w:sz w:val="16"/>
                          <w:szCs w:val="16"/>
                          <w:lang w:val="fr-FR"/>
                        </w:rPr>
                        <w:t>Cet enseignement s’adresse à une promotion composée de 12 à 20 étudiants, titulaires d’une première année de master de biologie, chimie ou physique ou d’un diplôme équivalent, mais également médecins, pharmaciens, vétérinaires ou ingénieurs souhaitant approfondir leurs connaissances en génétique, biologie cellulaire et biologie moléculaire appliquées à la cancérologie.</w:t>
                      </w:r>
                    </w:p>
                    <w:p w14:paraId="6E9D0834" w14:textId="77777777" w:rsidR="00475B85" w:rsidRPr="00A03F0B" w:rsidRDefault="00475B85" w:rsidP="00475B85">
                      <w:pPr>
                        <w:jc w:val="both"/>
                        <w:rPr>
                          <w:rFonts w:ascii="Century Gothic" w:hAnsi="Century Gothic"/>
                          <w:color w:val="1F497D" w:themeColor="text2"/>
                          <w:sz w:val="16"/>
                          <w:szCs w:val="16"/>
                          <w:lang w:val="fr-FR"/>
                        </w:rPr>
                      </w:pPr>
                    </w:p>
                    <w:p w14:paraId="19509D5E" w14:textId="77777777" w:rsidR="00475B85" w:rsidRPr="00A03F0B" w:rsidRDefault="00475B85" w:rsidP="004C2504">
                      <w:pPr>
                        <w:ind w:right="-18"/>
                        <w:jc w:val="center"/>
                        <w:rPr>
                          <w:rFonts w:ascii="Century Gothic" w:hAnsi="Century Gothic"/>
                          <w:sz w:val="16"/>
                          <w:szCs w:val="16"/>
                          <w:lang w:val="fr-FR"/>
                        </w:rPr>
                      </w:pPr>
                    </w:p>
                  </w:txbxContent>
                </v:textbox>
                <w10:wrap type="through" anchory="page"/>
              </v:shape>
            </w:pict>
          </mc:Fallback>
        </mc:AlternateContent>
      </w:r>
      <w:r w:rsidR="00046E78">
        <w:rPr>
          <w:noProof/>
          <w:lang w:eastAsia="en-US"/>
        </w:rPr>
        <mc:AlternateContent>
          <mc:Choice Requires="wps">
            <w:drawing>
              <wp:anchor distT="0" distB="0" distL="114300" distR="114300" simplePos="0" relativeHeight="251661824" behindDoc="0" locked="0" layoutInCell="1" allowOverlap="1" wp14:anchorId="680F2D60" wp14:editId="294CA440">
                <wp:simplePos x="0" y="0"/>
                <wp:positionH relativeFrom="column">
                  <wp:posOffset>-5080</wp:posOffset>
                </wp:positionH>
                <wp:positionV relativeFrom="page">
                  <wp:posOffset>1734820</wp:posOffset>
                </wp:positionV>
                <wp:extent cx="4320000" cy="579600"/>
                <wp:effectExtent l="0" t="0" r="0" b="5080"/>
                <wp:wrapSquare wrapText="bothSides"/>
                <wp:docPr id="4" name="Zone de texte 4"/>
                <wp:cNvGraphicFramePr/>
                <a:graphic xmlns:a="http://schemas.openxmlformats.org/drawingml/2006/main">
                  <a:graphicData uri="http://schemas.microsoft.com/office/word/2010/wordprocessingShape">
                    <wps:wsp>
                      <wps:cNvSpPr txBox="1"/>
                      <wps:spPr>
                        <a:xfrm>
                          <a:off x="0" y="0"/>
                          <a:ext cx="4320000" cy="579600"/>
                        </a:xfrm>
                        <a:prstGeom prst="rect">
                          <a:avLst/>
                        </a:prstGeom>
                        <a:solidFill>
                          <a:schemeClr val="accent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2F35C1" w14:textId="77777777" w:rsidR="007B5330" w:rsidRDefault="00475B85" w:rsidP="007B5330">
                            <w:pPr>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M2 </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ases </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oléculaires de l’</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ncogenèse</w:t>
                            </w:r>
                          </w:p>
                          <w:p w14:paraId="062DEEFB" w14:textId="77777777" w:rsidR="002157B7" w:rsidRPr="002157B7" w:rsidRDefault="007B5330" w:rsidP="007B5330">
                            <w:pPr>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BMO</w:t>
                            </w:r>
                          </w:p>
                          <w:p w14:paraId="2B35B9B3" w14:textId="77777777" w:rsidR="002157B7" w:rsidRPr="009C0B34" w:rsidRDefault="002157B7" w:rsidP="007B5330">
                            <w:pPr>
                              <w:jc w:val="center"/>
                              <w:rPr>
                                <w:b/>
                                <w:color w:val="FFFFFF" w:themeColor="background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A9391" id="Zone de texte 4" o:spid="_x0000_s1028" type="#_x0000_t202" style="position:absolute;margin-left:-.4pt;margin-top:136.6pt;width:340.15pt;height:4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csmwIAALUFAAAOAAAAZHJzL2Uyb0RvYy54bWysVNtuEzEQfUfiHyy/001C2tKomyq0KkIq&#10;bUWLKvHmeO3GwvYY28lu+HrG9m4aCkIq4mV3PJfj8ZnL6VlnNNkIHxTYmo4PRpQIy6FR9rGmX+4v&#10;37yjJERmG6bBippuRaBn89evTls3ExNYgW6EJwhiw6x1NV3F6GZVFfhKGBYOwAmLRgnesIhH/1g1&#10;nrWIbnQ1GY2OqhZ84zxwEQJqL4qRzjO+lILHGymDiETXFHOL+evzd5m+1fyUzR49cyvF+zTYP2Rh&#10;mLJ46Q7qgkVG1l79BmUU9xBAxgMOpgIpFRf5Dfia8ejZa+5WzIn8FiQnuB1N4f/B8uvNrSeqqemU&#10;EssMlugrFoo0gkTRRUGmiaLWhRl63jn0jd176LDUgz6gMr28k96kP76JoB3J3u4IRiTCUTl9izUb&#10;oYmj7fD45AhlhK+eop0P8YMAQ5JQU48FzLyyzVWIxXVwSZcF0Kq5VFrnQ2oaca492TAsN+Nc2DjO&#10;4XptPkFT9MeHKYWClfssheQkfkHTNmFaSOjFuWhE7qo+m0RMISBLcatFitL2s5DIaubhL6kNuOid&#10;vCRe9ZLA3j+FlqxeEryLyDeDjbtgoyz4TNuOnsJc8y1XHcsliz+ytvfuJMZu2eV2mgz9sYRmi23j&#10;ocxecPxSYW2vWIi3zOOwYTvgAok3+JEa2ppCL1GyAv/jT/rkjzOAVkpaHN6ahu9r5gUl+qPF6TgZ&#10;T6dp2vNheng8wYPftyz3LXZtzgEbZoyryvEsJv+oB1F6MA+4ZxbpVjQxy/HumsZBPI9lpeCe4mKx&#10;yE44347FK3vneIJOLKfOve8emHd9e6cRu4ZhzNnsWZcX3xRpYbGOIFUegcRzYbXnH3dD7t9+j6Xl&#10;s3/OXk/bdv4TAAD//wMAUEsDBBQABgAIAAAAIQCXr02r4AAAAAkBAAAPAAAAZHJzL2Rvd25yZXYu&#10;eG1sTI9BT4NAFITvJv6HzTPxYuxSsFSRR6NN9ODF2PoDtuwTiOxbZBdK+fVuT3qczGTmm3wzmVaM&#10;1LvGMsJyEYEgLq1uuEL43L/c3oNwXrFWrWVCOJGDTXF5katM2yN/0LjzlQgl7DKFUHvfZVK6siaj&#10;3MJ2xMH7sr1RPsi+krpXx1BuWhlHUSqNajgs1KqjbU3l924wCOOzmfvtu/0Z5uSUvrpuv7x5mxGv&#10;r6anRxCeJv8XhjN+QIciMB3swNqJFuEM7hHidRKDCH66fliBOCAk6d0KZJHL/w+KXwAAAP//AwBQ&#10;SwECLQAUAAYACAAAACEAtoM4kv4AAADhAQAAEwAAAAAAAAAAAAAAAAAAAAAAW0NvbnRlbnRfVHlw&#10;ZXNdLnhtbFBLAQItABQABgAIAAAAIQA4/SH/1gAAAJQBAAALAAAAAAAAAAAAAAAAAC8BAABfcmVs&#10;cy8ucmVsc1BLAQItABQABgAIAAAAIQC6xacsmwIAALUFAAAOAAAAAAAAAAAAAAAAAC4CAABkcnMv&#10;ZTJvRG9jLnhtbFBLAQItABQABgAIAAAAIQCXr02r4AAAAAkBAAAPAAAAAAAAAAAAAAAAAPUEAABk&#10;cnMvZG93bnJldi54bWxQSwUGAAAAAAQABADzAAAAAgYAAAAA&#10;" fillcolor="#365f91 [2404]" stroked="f">
                <v:textbox>
                  <w:txbxContent>
                    <w:p w:rsidR="007B5330" w:rsidRDefault="00475B85" w:rsidP="007B5330">
                      <w:pPr>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M2 </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ases </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oléculaires de l’</w:t>
                      </w:r>
                      <w:r w:rsidR="00C606A9" w:rsidRPr="007B5330">
                        <w:rPr>
                          <w:rFonts w:ascii="Century Gothic" w:hAnsi="Century Gothic"/>
                          <w:b/>
                          <w:color w:val="FFFFFF" w:themeColor="background1"/>
                          <w:szCs w:val="24"/>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C606A9">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ncogenèse</w:t>
                      </w:r>
                    </w:p>
                    <w:p w:rsidR="002157B7" w:rsidRPr="002157B7" w:rsidRDefault="007B5330" w:rsidP="007B5330">
                      <w:pPr>
                        <w:jc w:val="cente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color w:val="FFFFFF" w:themeColor="background1"/>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BMO</w:t>
                      </w:r>
                    </w:p>
                    <w:p w:rsidR="002157B7" w:rsidRPr="009C0B34" w:rsidRDefault="002157B7" w:rsidP="007B5330">
                      <w:pPr>
                        <w:jc w:val="center"/>
                        <w:rPr>
                          <w:b/>
                          <w:color w:val="FFFFFF" w:themeColor="background1"/>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y="page"/>
              </v:shape>
            </w:pict>
          </mc:Fallback>
        </mc:AlternateContent>
      </w:r>
      <w:r w:rsidR="00046E78">
        <w:rPr>
          <w:noProof/>
          <w:lang w:eastAsia="en-US"/>
        </w:rPr>
        <mc:AlternateContent>
          <mc:Choice Requires="wps">
            <w:drawing>
              <wp:anchor distT="0" distB="0" distL="114300" distR="114300" simplePos="0" relativeHeight="251658752" behindDoc="0" locked="0" layoutInCell="1" allowOverlap="1" wp14:anchorId="7C46060F" wp14:editId="25637359">
                <wp:simplePos x="0" y="0"/>
                <wp:positionH relativeFrom="column">
                  <wp:posOffset>42545</wp:posOffset>
                </wp:positionH>
                <wp:positionV relativeFrom="page">
                  <wp:posOffset>1023620</wp:posOffset>
                </wp:positionV>
                <wp:extent cx="4319905" cy="748665"/>
                <wp:effectExtent l="0" t="0" r="0" b="0"/>
                <wp:wrapThrough wrapText="bothSides">
                  <wp:wrapPolygon edited="0">
                    <wp:start x="127" y="0"/>
                    <wp:lineTo x="127" y="20519"/>
                    <wp:lineTo x="21336" y="20519"/>
                    <wp:lineTo x="21336" y="0"/>
                    <wp:lineTo x="127" y="0"/>
                  </wp:wrapPolygon>
                </wp:wrapThrough>
                <wp:docPr id="3" name="Zone de texte 3"/>
                <wp:cNvGraphicFramePr/>
                <a:graphic xmlns:a="http://schemas.openxmlformats.org/drawingml/2006/main">
                  <a:graphicData uri="http://schemas.microsoft.com/office/word/2010/wordprocessingShape">
                    <wps:wsp>
                      <wps:cNvSpPr txBox="1"/>
                      <wps:spPr>
                        <a:xfrm>
                          <a:off x="0" y="0"/>
                          <a:ext cx="4319905" cy="748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639BD7A" w14:textId="77777777" w:rsidR="003940F6" w:rsidRDefault="0006125C" w:rsidP="00637977">
                            <w:pPr>
                              <w:ind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 xml:space="preserve">Département de </w:t>
                            </w:r>
                            <w:r w:rsidR="003940F6">
                              <w:rPr>
                                <w:rFonts w:ascii="Century Gothic" w:hAnsi="Century Gothic"/>
                                <w:b/>
                                <w:color w:val="1F497D" w:themeColor="text2"/>
                                <w:szCs w:val="24"/>
                                <w:lang w:val="fr-FR"/>
                              </w:rPr>
                              <w:t>master</w:t>
                            </w:r>
                          </w:p>
                          <w:p w14:paraId="2026F1D3" w14:textId="77777777" w:rsidR="0006125C" w:rsidRPr="00637977" w:rsidRDefault="0006125C" w:rsidP="00637977">
                            <w:pPr>
                              <w:ind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 xml:space="preserve"> "Biologie Moléculaire &amp; Cellulaire"</w:t>
                            </w:r>
                          </w:p>
                          <w:p w14:paraId="1117F2EA" w14:textId="77777777" w:rsidR="00D91C46" w:rsidRPr="00637977" w:rsidRDefault="0006125C" w:rsidP="00637977">
                            <w:pPr>
                              <w:ind w:left="567"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Parcours "</w:t>
                            </w:r>
                            <w:r w:rsidR="00317360" w:rsidRPr="00637977">
                              <w:rPr>
                                <w:rFonts w:ascii="Century Gothic" w:hAnsi="Century Gothic"/>
                                <w:b/>
                                <w:color w:val="1F497D" w:themeColor="text2"/>
                                <w:szCs w:val="24"/>
                                <w:lang w:val="fr-FR"/>
                              </w:rPr>
                              <w:t xml:space="preserve"> </w:t>
                            </w:r>
                            <w:r w:rsidR="003E7A8A" w:rsidRPr="00637977">
                              <w:rPr>
                                <w:rFonts w:ascii="Century Gothic" w:hAnsi="Century Gothic"/>
                                <w:b/>
                                <w:color w:val="1F497D" w:themeColor="text2"/>
                                <w:szCs w:val="24"/>
                                <w:lang w:val="fr-FR"/>
                              </w:rPr>
                              <w:t>Génétique et Epigénétique</w:t>
                            </w:r>
                            <w:r w:rsidR="00233807" w:rsidRPr="00637977">
                              <w:rPr>
                                <w:rFonts w:ascii="Century Gothic" w:hAnsi="Century Gothic"/>
                                <w:b/>
                                <w:color w:val="1F497D" w:themeColor="text2"/>
                                <w:szCs w:val="24"/>
                                <w:lang w:val="fr-FR"/>
                              </w:rPr>
                              <w:t xml:space="preserve"> </w:t>
                            </w:r>
                            <w:r w:rsidRPr="00637977">
                              <w:rPr>
                                <w:rFonts w:ascii="Century Gothic" w:hAnsi="Century Gothic"/>
                                <w:b/>
                                <w:color w:val="1F497D" w:themeColor="text2"/>
                                <w:szCs w:val="2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1618B4" id="Zone de texte 3" o:spid="_x0000_s1029" type="#_x0000_t202" style="position:absolute;margin-left:3.35pt;margin-top:80.6pt;width:340.15pt;height:5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UebZQIAAKwEAAAOAAAAZHJzL2Uyb0RvYy54bWysVMFu2zAMvQ/YPwi6p7YTJ02MOoWbIsOA&#10;oi2QDgV2U2Q5MWCJmqTU7ob9+yjZbrtup2EXhSJpinzvMReXnWzIkzC2BpXT5CymRCgOZa0OOf3y&#10;sJ0sKbGOqZI1oEROn4Wll+uPHy5anYkpHKEphSFYRNms1Tk9OqezKLL8KCSzZ6CFwmAFRjKHV3OI&#10;SsNarC6baBrHi6gFU2oDXFiL3us+SNehflUJ7u6qygpHmpxiby6cJpx7f0brC5YdDNPHmg9tsH/o&#10;QrJa4aMvpa6ZY+Rk6j9KyZobsFC5Mw4ygqqquQgz4DRJ/G6a3ZFpEWZBcKx+gcn+v7L89unekLrM&#10;6YwSxSRS9BWJIqUgTnROkJmHqNU2w8ydxlzXXUGHVI9+i04/eVcZ6X9xJoJxBPv5BWCsRDg601my&#10;WsVzSjjGztPlYjH3ZaLXr7Wx7pMASbyRU4MEBlzZ0411feqY4h9TsK2bJpDYqN8cWLP3iKCC/muW&#10;YSdo+kzfU2Dox2Z+Pi3O56vJopgnkzSJl5OiiKeT620RF3G63azSq59Dn+P3kYekH91brtt3A4oD&#10;XHsonxEtA73krObbGke6YdbdM4MaQ4Bwb9wdHlUDbU5hsCg5gvn+N7/PR+oxSkmLms2p/XZiRlDS&#10;fFYoilWSpl7k4ZLiVHgxbyP7txF1khvAtUhwQzUPps93zWhWBuQjrlfhX8UQUxzfzqkbzY3rNwnX&#10;k4uiCEkoa83cjdpp7kt7pD1hD90jM3pg1SvrFkZ1s+wduX1uz2ZxclDVgXmPc48qKsZfcCWCdob1&#10;9Tv39h6yXv9k1r8AAAD//wMAUEsDBBQABgAIAAAAIQDB3TlT3gAAAAkBAAAPAAAAZHJzL2Rvd25y&#10;ZXYueG1sTI/NTsMwEITvSLyDtUjcqJ2oJG2IU1WtuIIoPxI3N94mEfE6it0mvD3LCY47M5r9ptzM&#10;rhcXHEPnSUOyUCCQam87ajS8vT7erUCEaMia3hNq+MYAm+r6qjSF9RO94OUQG8ElFAqjoY1xKKQM&#10;dYvOhIUfkNg7+dGZyOfYSDuaictdL1OlMulMR/yhNQPuWqy/Dmen4f3p9PmxVM/N3t0Pk5+VJLeW&#10;Wt/ezNsHEBHn+BeGX3xGh4qZjv5MNoheQ5ZzkOUsSUGwn61y3nbUkObrBGRVyv8Lqh8AAAD//wMA&#10;UEsBAi0AFAAGAAgAAAAhALaDOJL+AAAA4QEAABMAAAAAAAAAAAAAAAAAAAAAAFtDb250ZW50X1R5&#10;cGVzXS54bWxQSwECLQAUAAYACAAAACEAOP0h/9YAAACUAQAACwAAAAAAAAAAAAAAAAAvAQAAX3Jl&#10;bHMvLnJlbHNQSwECLQAUAAYACAAAACEA99lHm2UCAACsBAAADgAAAAAAAAAAAAAAAAAuAgAAZHJz&#10;L2Uyb0RvYy54bWxQSwECLQAUAAYACAAAACEAwd05U94AAAAJAQAADwAAAAAAAAAAAAAAAAC/BAAA&#10;ZHJzL2Rvd25yZXYueG1sUEsFBgAAAAAEAAQA8wAAAMoFAAAAAA==&#10;" filled="f" stroked="f">
                <v:textbox>
                  <w:txbxContent>
                    <w:p w:rsidR="003940F6" w:rsidRDefault="0006125C" w:rsidP="00637977">
                      <w:pPr>
                        <w:ind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 xml:space="preserve">Département de </w:t>
                      </w:r>
                      <w:r w:rsidR="003940F6">
                        <w:rPr>
                          <w:rFonts w:ascii="Century Gothic" w:hAnsi="Century Gothic"/>
                          <w:b/>
                          <w:color w:val="1F497D" w:themeColor="text2"/>
                          <w:szCs w:val="24"/>
                          <w:lang w:val="fr-FR"/>
                        </w:rPr>
                        <w:t>master</w:t>
                      </w:r>
                    </w:p>
                    <w:p w:rsidR="0006125C" w:rsidRPr="00637977" w:rsidRDefault="0006125C" w:rsidP="00637977">
                      <w:pPr>
                        <w:ind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 xml:space="preserve"> "Biologie Moléculaire &amp; Cellulaire"</w:t>
                      </w:r>
                    </w:p>
                    <w:p w:rsidR="00D91C46" w:rsidRPr="00637977" w:rsidRDefault="0006125C" w:rsidP="00637977">
                      <w:pPr>
                        <w:ind w:left="567" w:right="-6"/>
                        <w:jc w:val="center"/>
                        <w:rPr>
                          <w:rFonts w:ascii="Century Gothic" w:hAnsi="Century Gothic"/>
                          <w:b/>
                          <w:color w:val="1F497D" w:themeColor="text2"/>
                          <w:szCs w:val="24"/>
                          <w:lang w:val="fr-FR"/>
                        </w:rPr>
                      </w:pPr>
                      <w:r w:rsidRPr="00637977">
                        <w:rPr>
                          <w:rFonts w:ascii="Century Gothic" w:hAnsi="Century Gothic"/>
                          <w:b/>
                          <w:color w:val="1F497D" w:themeColor="text2"/>
                          <w:szCs w:val="24"/>
                          <w:lang w:val="fr-FR"/>
                        </w:rPr>
                        <w:t>Parcours "</w:t>
                      </w:r>
                      <w:r w:rsidR="00317360" w:rsidRPr="00637977">
                        <w:rPr>
                          <w:rFonts w:ascii="Century Gothic" w:hAnsi="Century Gothic"/>
                          <w:b/>
                          <w:color w:val="1F497D" w:themeColor="text2"/>
                          <w:szCs w:val="24"/>
                          <w:lang w:val="fr-FR"/>
                        </w:rPr>
                        <w:t xml:space="preserve"> </w:t>
                      </w:r>
                      <w:r w:rsidR="003E7A8A" w:rsidRPr="00637977">
                        <w:rPr>
                          <w:rFonts w:ascii="Century Gothic" w:hAnsi="Century Gothic"/>
                          <w:b/>
                          <w:color w:val="1F497D" w:themeColor="text2"/>
                          <w:szCs w:val="24"/>
                          <w:lang w:val="fr-FR"/>
                        </w:rPr>
                        <w:t>Génétique et Epigénétique</w:t>
                      </w:r>
                      <w:r w:rsidR="00233807" w:rsidRPr="00637977">
                        <w:rPr>
                          <w:rFonts w:ascii="Century Gothic" w:hAnsi="Century Gothic"/>
                          <w:b/>
                          <w:color w:val="1F497D" w:themeColor="text2"/>
                          <w:szCs w:val="24"/>
                          <w:lang w:val="fr-FR"/>
                        </w:rPr>
                        <w:t xml:space="preserve"> </w:t>
                      </w:r>
                      <w:r w:rsidRPr="00637977">
                        <w:rPr>
                          <w:rFonts w:ascii="Century Gothic" w:hAnsi="Century Gothic"/>
                          <w:b/>
                          <w:color w:val="1F497D" w:themeColor="text2"/>
                          <w:szCs w:val="24"/>
                          <w:lang w:val="fr-FR"/>
                        </w:rPr>
                        <w:t>"</w:t>
                      </w:r>
                    </w:p>
                  </w:txbxContent>
                </v:textbox>
                <w10:wrap type="through" anchory="page"/>
              </v:shape>
            </w:pict>
          </mc:Fallback>
        </mc:AlternateContent>
      </w:r>
      <w:r w:rsidR="00046E78">
        <w:rPr>
          <w:rFonts w:ascii="Century Gothic" w:hAnsi="Century Gothic"/>
          <w:noProof/>
          <w:sz w:val="18"/>
          <w:lang w:eastAsia="en-US"/>
        </w:rPr>
        <w:drawing>
          <wp:anchor distT="0" distB="0" distL="114300" distR="114300" simplePos="0" relativeHeight="251666944" behindDoc="0" locked="0" layoutInCell="1" allowOverlap="1" wp14:anchorId="734CE795" wp14:editId="685D3F8E">
            <wp:simplePos x="0" y="0"/>
            <wp:positionH relativeFrom="column">
              <wp:posOffset>227330</wp:posOffset>
            </wp:positionH>
            <wp:positionV relativeFrom="paragraph">
              <wp:posOffset>-102870</wp:posOffset>
            </wp:positionV>
            <wp:extent cx="1168400" cy="469265"/>
            <wp:effectExtent l="0" t="0" r="0" b="6985"/>
            <wp:wrapTight wrapText="bothSides">
              <wp:wrapPolygon edited="0">
                <wp:start x="0" y="0"/>
                <wp:lineTo x="0" y="21045"/>
                <wp:lineTo x="21130" y="21045"/>
                <wp:lineTo x="21130" y="0"/>
                <wp:lineTo x="0" y="0"/>
              </wp:wrapPolygon>
            </wp:wrapTight>
            <wp:docPr id="5" name="Image 5" descr="Macintosh HD:Users:thierryfoulon:Desktop:MAJ_Plaquettes_BBM:LOGO_SCIENCES_DEF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ierryfoulon:Desktop:MAJ_Plaquettes_BBM:LOGO_SCIENCES_DEF_CMJ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8400" cy="469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25B63A9E" w14:textId="77777777" w:rsidR="00256FF4" w:rsidRPr="009C0B34" w:rsidRDefault="00142B32">
      <w:pPr>
        <w:rPr>
          <w:lang w:val="fr-FR"/>
        </w:rPr>
      </w:pPr>
      <w:r w:rsidRPr="00142B32">
        <w:rPr>
          <w:rFonts w:ascii="Comic Sans MS" w:hAnsi="Comic Sans MS"/>
          <w:b/>
          <w:color w:val="008000"/>
          <w:sz w:val="20"/>
          <w:lang w:val="fr-FR"/>
        </w:rPr>
        <w:t xml:space="preserve"> </w:t>
      </w:r>
    </w:p>
    <w:sectPr w:rsidR="00256FF4" w:rsidRPr="009C0B34" w:rsidSect="00637977">
      <w:pgSz w:w="16832" w:h="11904" w:orient="landscape"/>
      <w:pgMar w:top="454" w:right="284" w:bottom="284" w:left="284" w:header="720" w:footer="720" w:gutter="0"/>
      <w:cols w:num="2" w:space="2654"/>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1"/>
    <w:docVar w:name="ShowOutlines" w:val="1"/>
  </w:docVars>
  <w:rsids>
    <w:rsidRoot w:val="00142B32"/>
    <w:rsid w:val="00046E78"/>
    <w:rsid w:val="0006125C"/>
    <w:rsid w:val="000C754F"/>
    <w:rsid w:val="00142B32"/>
    <w:rsid w:val="00142ED1"/>
    <w:rsid w:val="001513D2"/>
    <w:rsid w:val="001846C9"/>
    <w:rsid w:val="001A16EB"/>
    <w:rsid w:val="001D750A"/>
    <w:rsid w:val="001E5932"/>
    <w:rsid w:val="002157B7"/>
    <w:rsid w:val="00233807"/>
    <w:rsid w:val="00256FF4"/>
    <w:rsid w:val="00317360"/>
    <w:rsid w:val="00331E3D"/>
    <w:rsid w:val="00356936"/>
    <w:rsid w:val="00374FF4"/>
    <w:rsid w:val="003940F6"/>
    <w:rsid w:val="00396820"/>
    <w:rsid w:val="003A07CD"/>
    <w:rsid w:val="003E7A8A"/>
    <w:rsid w:val="00434D1D"/>
    <w:rsid w:val="004645D3"/>
    <w:rsid w:val="00475B85"/>
    <w:rsid w:val="00477F10"/>
    <w:rsid w:val="004C2504"/>
    <w:rsid w:val="004C577F"/>
    <w:rsid w:val="004D7773"/>
    <w:rsid w:val="00561475"/>
    <w:rsid w:val="00566004"/>
    <w:rsid w:val="005D70EB"/>
    <w:rsid w:val="005F1504"/>
    <w:rsid w:val="00637977"/>
    <w:rsid w:val="006F38EA"/>
    <w:rsid w:val="007458A5"/>
    <w:rsid w:val="007702FF"/>
    <w:rsid w:val="00792CB9"/>
    <w:rsid w:val="007A3050"/>
    <w:rsid w:val="007B5330"/>
    <w:rsid w:val="008068E1"/>
    <w:rsid w:val="00855FFD"/>
    <w:rsid w:val="008A5B23"/>
    <w:rsid w:val="008E632F"/>
    <w:rsid w:val="009059BA"/>
    <w:rsid w:val="009468EA"/>
    <w:rsid w:val="00960631"/>
    <w:rsid w:val="00981280"/>
    <w:rsid w:val="009C0B34"/>
    <w:rsid w:val="00A03F0B"/>
    <w:rsid w:val="00A6061A"/>
    <w:rsid w:val="00A6224F"/>
    <w:rsid w:val="00AA6D09"/>
    <w:rsid w:val="00AB1D9F"/>
    <w:rsid w:val="00AB4E16"/>
    <w:rsid w:val="00AC113D"/>
    <w:rsid w:val="00B0360F"/>
    <w:rsid w:val="00BB3428"/>
    <w:rsid w:val="00BD0105"/>
    <w:rsid w:val="00BF5A09"/>
    <w:rsid w:val="00C3507E"/>
    <w:rsid w:val="00C606A9"/>
    <w:rsid w:val="00CC1F01"/>
    <w:rsid w:val="00D00968"/>
    <w:rsid w:val="00D54DF4"/>
    <w:rsid w:val="00D6745B"/>
    <w:rsid w:val="00D74DF0"/>
    <w:rsid w:val="00D81EA0"/>
    <w:rsid w:val="00D91C46"/>
    <w:rsid w:val="00DD52DE"/>
    <w:rsid w:val="00DD7383"/>
    <w:rsid w:val="00F67382"/>
    <w:rsid w:val="00FA532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215D90F"/>
  <w14:defaultImageDpi w14:val="300"/>
  <w15:docId w15:val="{F8D5113C-55AB-4B6B-AD61-96A50116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32"/>
    <w:rPr>
      <w:rFonts w:ascii="Times" w:eastAsia="Times" w:hAnsi="Times"/>
      <w:sz w:val="24"/>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3A0809"/>
    <w:rPr>
      <w:rFonts w:ascii="Lucida Grande" w:hAnsi="Lucida Grande"/>
      <w:sz w:val="18"/>
      <w:szCs w:val="18"/>
    </w:rPr>
  </w:style>
  <w:style w:type="character" w:styleId="Lienhypertexte">
    <w:name w:val="Hyperlink"/>
    <w:rsid w:val="00142B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ssier xmlns="276d307d-240c-4460-82c3-11f25cea29bf" xsi:nil="true"/>
    <Ann_x00e9_e xmlns="276d307d-240c-4460-82c3-11f25cea29bf" xsi:nil="true"/>
    <NOM_x0020_ETUDIANT xmlns="276d307d-240c-4460-82c3-11f25cea29bf" xsi:nil="true"/>
    <LABORATOIRE xmlns="276d307d-240c-4460-82c3-11f25cea29bf">M1</LABORATOIRE>
    <MAIL xmlns="276d307d-240c-4460-82c3-11f25cea29b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9A90FF2D7A24E8A6C6440462254F9" ma:contentTypeVersion="6" ma:contentTypeDescription="Crée un document." ma:contentTypeScope="" ma:versionID="417ece0bf5f2d6d281e9649ea50a503d">
  <xsd:schema xmlns:xsd="http://www.w3.org/2001/XMLSchema" xmlns:xs="http://www.w3.org/2001/XMLSchema" xmlns:p="http://schemas.microsoft.com/office/2006/metadata/properties" xmlns:ns2="276d307d-240c-4460-82c3-11f25cea29bf" targetNamespace="http://schemas.microsoft.com/office/2006/metadata/properties" ma:root="true" ma:fieldsID="76ea24ad5cf0b5a323f5c1a921ec38a8" ns2:_="">
    <xsd:import namespace="276d307d-240c-4460-82c3-11f25cea29bf"/>
    <xsd:element name="properties">
      <xsd:complexType>
        <xsd:sequence>
          <xsd:element name="documentManagement">
            <xsd:complexType>
              <xsd:all>
                <xsd:element ref="ns2:Dossier" minOccurs="0"/>
                <xsd:element ref="ns2:Ann_x00e9_e" minOccurs="0"/>
                <xsd:element ref="ns2:NOM_x0020_ETUDIANT" minOccurs="0"/>
                <xsd:element ref="ns2:LABORATOIRE" minOccurs="0"/>
                <xsd:element ref="ns2:MAIL" minOccurs="0"/>
                <xsd:element ref="ns2:MAIL_x003a_Couri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d307d-240c-4460-82c3-11f25cea29bf" elementFormDefault="qualified">
    <xsd:import namespace="http://schemas.microsoft.com/office/2006/documentManagement/types"/>
    <xsd:import namespace="http://schemas.microsoft.com/office/infopath/2007/PartnerControls"/>
    <xsd:element name="Dossier" ma:index="8" nillable="true" ma:displayName="Dossier" ma:format="Dropdown" ma:internalName="Dossier">
      <xsd:simpleType>
        <xsd:restriction base="dms:Choice">
          <xsd:enumeration value="D1"/>
          <xsd:enumeration value="D2"/>
          <xsd:enumeration value="D3"/>
          <xsd:enumeration value="D4"/>
          <xsd:enumeration value="D5"/>
        </xsd:restriction>
      </xsd:simpleType>
    </xsd:element>
    <xsd:element name="Ann_x00e9_e" ma:index="9" nillable="true" ma:displayName="Année" ma:format="Dropdown" ma:internalName="Ann_x00e9_e">
      <xsd:simpleType>
        <xsd:restriction base="dms:Choice">
          <xsd:enumeration value="2014"/>
          <xsd:enumeration value="2015"/>
          <xsd:enumeration value="2016"/>
          <xsd:enumeration value="2017"/>
          <xsd:enumeration value="2018"/>
          <xsd:enumeration value="2019"/>
          <xsd:enumeration value="2020"/>
        </xsd:restriction>
      </xsd:simpleType>
    </xsd:element>
    <xsd:element name="NOM_x0020_ETUDIANT" ma:index="10" nillable="true" ma:displayName="NOM ETUDIANT" ma:description="DE NAISSANCE" ma:internalName="NOM_x0020_ETUDIANT">
      <xsd:simpleType>
        <xsd:restriction base="dms:Text">
          <xsd:maxLength value="255"/>
        </xsd:restriction>
      </xsd:simpleType>
    </xsd:element>
    <xsd:element name="LABORATOIRE" ma:index="11" nillable="true" ma:displayName="LABORATOIRE" ma:default="M1" ma:format="Dropdown" ma:internalName="LABORATOIRE">
      <xsd:simpleType>
        <xsd:restriction base="dms:Choice">
          <xsd:enumeration value="M1"/>
          <xsd:enumeration value="M2"/>
          <xsd:enumeration value="CANDIDAT"/>
          <xsd:enumeration value="CAMPUS"/>
        </xsd:restriction>
      </xsd:simpleType>
    </xsd:element>
    <xsd:element name="MAIL" ma:index="12" nillable="true" ma:displayName="MAIL" ma:list="{7c82ee35-7701-43c7-bfb5-04309501c361}" ma:internalName="MAIL" ma:showField="Title">
      <xsd:simpleType>
        <xsd:restriction base="dms:Lookup"/>
      </xsd:simpleType>
    </xsd:element>
    <xsd:element name="MAIL_x003a_Couriel" ma:index="13" nillable="true" ma:displayName="MAIL:Couriel" ma:list="{7c82ee35-7701-43c7-bfb5-04309501c361}" ma:internalName="MAIL_x003a_Couriel" ma:readOnly="true" ma:showField="Couriel" ma:web="8e4bcc63-ae46-4c83-947a-8f7648298633">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29C844-9FD1-444E-AB6B-E68C9053720D}">
  <ds:schemaRefs>
    <ds:schemaRef ds:uri="http://schemas.microsoft.com/office/2006/metadata/properties"/>
    <ds:schemaRef ds:uri="http://schemas.microsoft.com/office/infopath/2007/PartnerControls"/>
    <ds:schemaRef ds:uri="276d307d-240c-4460-82c3-11f25cea29bf"/>
  </ds:schemaRefs>
</ds:datastoreItem>
</file>

<file path=customXml/itemProps2.xml><?xml version="1.0" encoding="utf-8"?>
<ds:datastoreItem xmlns:ds="http://schemas.openxmlformats.org/officeDocument/2006/customXml" ds:itemID="{FE4DD6B6-EC80-40A8-90A1-8F000F8B0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d307d-240c-4460-82c3-11f25cea2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444093-49F3-4EE5-86DB-5B5FF61A7A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Words>
  <Characters>78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Maître de conférences</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Louvet-Vallée</dc:creator>
  <cp:keywords/>
  <dc:description/>
  <cp:lastModifiedBy>Laure</cp:lastModifiedBy>
  <cp:revision>3</cp:revision>
  <cp:lastPrinted>2016-01-29T11:31:00Z</cp:lastPrinted>
  <dcterms:created xsi:type="dcterms:W3CDTF">2021-08-18T14:43:00Z</dcterms:created>
  <dcterms:modified xsi:type="dcterms:W3CDTF">2021-08-31T10:05:00Z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0x0101007BD9A90FF2D7A24E8A6C6440462254F9</vt:lpwstr>
  </property>
</Properties>
</file>